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5E" w:rsidRDefault="0039555E" w:rsidP="0039555E">
      <w:pPr>
        <w:rPr>
          <w:rFonts w:eastAsia="PMingLiU"/>
          <w:sz w:val="22"/>
          <w:szCs w:val="22"/>
          <w:lang w:eastAsia="zh-TW"/>
        </w:rPr>
      </w:pPr>
      <w:r w:rsidRPr="0039555E">
        <w:rPr>
          <w:rFonts w:eastAsia="PMingLiU"/>
          <w:sz w:val="22"/>
          <w:szCs w:val="22"/>
          <w:lang w:eastAsia="zh-TW"/>
        </w:rPr>
        <w:t>Załącznik B.</w:t>
      </w:r>
      <w:r w:rsidR="00141F57">
        <w:rPr>
          <w:rFonts w:eastAsia="PMingLiU"/>
          <w:sz w:val="22"/>
          <w:szCs w:val="22"/>
          <w:lang w:eastAsia="zh-TW"/>
        </w:rPr>
        <w:t>59</w:t>
      </w:r>
      <w:bookmarkStart w:id="0" w:name="_GoBack"/>
      <w:bookmarkEnd w:id="0"/>
      <w:r w:rsidRPr="0039555E">
        <w:rPr>
          <w:rFonts w:eastAsia="PMingLiU"/>
          <w:sz w:val="22"/>
          <w:szCs w:val="22"/>
          <w:lang w:eastAsia="zh-TW"/>
        </w:rPr>
        <w:t>.</w:t>
      </w:r>
    </w:p>
    <w:p w:rsidR="0039555E" w:rsidRPr="0039555E" w:rsidRDefault="0039555E" w:rsidP="0039555E">
      <w:pPr>
        <w:rPr>
          <w:rFonts w:eastAsia="PMingLiU"/>
          <w:sz w:val="22"/>
          <w:szCs w:val="22"/>
          <w:lang w:eastAsia="zh-TW"/>
        </w:rPr>
      </w:pPr>
    </w:p>
    <w:p w:rsidR="00162266" w:rsidRPr="0039555E" w:rsidRDefault="00162266" w:rsidP="00623E60">
      <w:pPr>
        <w:spacing w:after="240" w:line="276" w:lineRule="auto"/>
        <w:rPr>
          <w:rFonts w:eastAsia="PMingLiU"/>
          <w:b/>
          <w:sz w:val="28"/>
          <w:szCs w:val="28"/>
          <w:lang w:eastAsia="zh-TW"/>
        </w:rPr>
      </w:pPr>
      <w:r w:rsidRPr="0039555E">
        <w:rPr>
          <w:rFonts w:eastAsia="PMingLiU"/>
          <w:b/>
          <w:sz w:val="28"/>
          <w:szCs w:val="28"/>
          <w:lang w:eastAsia="zh-TW"/>
        </w:rPr>
        <w:t>LECZENIE CZERNIAKA SKÓRY LUB BŁON ŚLUZOWYCH</w:t>
      </w:r>
      <w:r w:rsidR="00033E6B" w:rsidRPr="0039555E">
        <w:rPr>
          <w:rFonts w:eastAsia="PMingLiU"/>
          <w:b/>
          <w:sz w:val="28"/>
          <w:szCs w:val="28"/>
          <w:lang w:eastAsia="zh-TW"/>
        </w:rPr>
        <w:t xml:space="preserve"> </w:t>
      </w:r>
      <w:r w:rsidRPr="0039555E">
        <w:rPr>
          <w:rFonts w:eastAsia="PMingLiU"/>
          <w:b/>
          <w:sz w:val="28"/>
          <w:szCs w:val="28"/>
          <w:lang w:eastAsia="zh-TW"/>
        </w:rPr>
        <w:t>(ICD</w:t>
      </w:r>
      <w:r w:rsidR="00395DD2" w:rsidRPr="0039555E">
        <w:rPr>
          <w:rFonts w:eastAsia="PMingLiU"/>
          <w:b/>
          <w:sz w:val="28"/>
          <w:szCs w:val="28"/>
          <w:lang w:eastAsia="zh-TW"/>
        </w:rPr>
        <w:t xml:space="preserve"> </w:t>
      </w:r>
      <w:r w:rsidRPr="0039555E">
        <w:rPr>
          <w:rFonts w:eastAsia="PMingLiU"/>
          <w:b/>
          <w:sz w:val="28"/>
          <w:szCs w:val="28"/>
          <w:lang w:eastAsia="zh-TW"/>
        </w:rPr>
        <w:t>-10  C43)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5"/>
        <w:gridCol w:w="4330"/>
        <w:gridCol w:w="5503"/>
      </w:tblGrid>
      <w:tr w:rsidR="00162266" w:rsidRPr="0039555E" w:rsidTr="007311F2">
        <w:trPr>
          <w:trHeight w:val="42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ZAKRES ŚWIADCZENIA GWARANTOWANEGO</w:t>
            </w:r>
          </w:p>
        </w:tc>
      </w:tr>
      <w:tr w:rsidR="00162266" w:rsidRPr="0039555E" w:rsidTr="00C04488">
        <w:tc>
          <w:tcPr>
            <w:tcW w:w="1805" w:type="pct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ŚWIADCZENIOBIORCY</w:t>
            </w:r>
          </w:p>
        </w:tc>
        <w:tc>
          <w:tcPr>
            <w:tcW w:w="1407" w:type="pct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SCHEMAT DAWKOWANIA LEKU W PROGRAMIE</w:t>
            </w:r>
          </w:p>
        </w:tc>
        <w:tc>
          <w:tcPr>
            <w:tcW w:w="1788" w:type="pct"/>
            <w:shd w:val="clear" w:color="auto" w:fill="auto"/>
            <w:vAlign w:val="center"/>
          </w:tcPr>
          <w:p w:rsidR="00162266" w:rsidRPr="0039555E" w:rsidRDefault="00162266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BADANIA DIAGNOSTYCZNE WYKONYWANE W RAMACH PROGRAMU</w:t>
            </w:r>
          </w:p>
        </w:tc>
      </w:tr>
      <w:tr w:rsidR="00341CDB" w:rsidRPr="0039555E" w:rsidTr="00341CDB">
        <w:tc>
          <w:tcPr>
            <w:tcW w:w="5000" w:type="pct"/>
            <w:gridSpan w:val="3"/>
            <w:shd w:val="clear" w:color="auto" w:fill="auto"/>
            <w:vAlign w:val="center"/>
          </w:tcPr>
          <w:p w:rsidR="00623E60" w:rsidRPr="0039555E" w:rsidRDefault="00623E60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341CDB" w:rsidRPr="0039555E" w:rsidRDefault="00341CDB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 xml:space="preserve">Leczenie czerniaka skóry lub błon śluzowych </w:t>
            </w:r>
            <w:proofErr w:type="spellStart"/>
            <w:r w:rsidRPr="0039555E">
              <w:rPr>
                <w:b/>
                <w:sz w:val="20"/>
                <w:szCs w:val="20"/>
              </w:rPr>
              <w:t>ipilimumabem</w:t>
            </w:r>
            <w:proofErr w:type="spellEnd"/>
          </w:p>
          <w:p w:rsidR="00623E60" w:rsidRPr="0039555E" w:rsidRDefault="00623E60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162266" w:rsidRPr="0039555E" w:rsidTr="00C04488">
        <w:tc>
          <w:tcPr>
            <w:tcW w:w="1805" w:type="pct"/>
            <w:shd w:val="clear" w:color="auto" w:fill="auto"/>
          </w:tcPr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Kryteria kwalifikacji do leczenia: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histologiczne potwierdzenie czerniaka skóry lub błon śluzowych w stadium zaawansowania III (nieoperacyjny) lub IV;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nieskuteczne wcześniejsze jedno leczenie systemowe czerniaka lub brak tolerancji nie pozwalający na je</w:t>
            </w:r>
            <w:r w:rsidR="00B81A03" w:rsidRPr="0039555E">
              <w:rPr>
                <w:sz w:val="20"/>
                <w:szCs w:val="20"/>
              </w:rPr>
              <w:t xml:space="preserve">go kontynuację </w:t>
            </w:r>
            <w:r w:rsidRPr="0039555E">
              <w:rPr>
                <w:sz w:val="20"/>
                <w:szCs w:val="20"/>
              </w:rPr>
              <w:t>(nie dotyczy chorych, którzy otrzymywali uzupełniające leczenie pooperacyjne – wymienieni chorzy mogą być kwalifikowani do leczenia ipilimumabem po wspomnianym leczeniu uzupełniającym oraz jednej linii leczenia systemowego z powodu uogólnienia nowotworu);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rozpoczynanie leczenia ipilimumabem w chwili ustąpienia wszystkich klinicznie istotnych działań niepożądanych wcześniejszego leczenia (chemioterapia, immunoterapia, biochemioterapia, radioterapia, chirurgiczne leczenie);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nieobecne przerzuty </w:t>
            </w:r>
            <w:r w:rsidR="00A763E8" w:rsidRPr="0039555E">
              <w:rPr>
                <w:sz w:val="20"/>
                <w:szCs w:val="20"/>
              </w:rPr>
              <w:t>w mózgu lub stan bezobjawowy po </w:t>
            </w:r>
            <w:r w:rsidRPr="0039555E">
              <w:rPr>
                <w:sz w:val="20"/>
                <w:szCs w:val="20"/>
              </w:rPr>
              <w:t>przebytym leczeniu chirurgicznym lub radioterapii przerzutów w mózgu;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stan sprawności według kryteriów ECOG w stopniu 0-1;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wiek ≥ 18 lat;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lastRenderedPageBreak/>
              <w:t>antykoncepcyjne przeciwdziałanie u kobiet w wieku rozrodczym przez cały okres stosowania leczenia oraz do 26 tygodni po podaniu ostatniej dawki ipilimumabu;</w:t>
            </w:r>
          </w:p>
          <w:p w:rsidR="00162266" w:rsidRPr="0039555E" w:rsidRDefault="00162266" w:rsidP="00767217">
            <w:pPr>
              <w:numPr>
                <w:ilvl w:val="0"/>
                <w:numId w:val="1"/>
              </w:numPr>
              <w:tabs>
                <w:tab w:val="clear" w:pos="360"/>
                <w:tab w:val="left" w:pos="-1418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laboratoryjne badania (przed rozpoczęciem leczenia) </w:t>
            </w:r>
            <w:r w:rsidR="00A763E8" w:rsidRPr="0039555E">
              <w:rPr>
                <w:sz w:val="20"/>
                <w:szCs w:val="20"/>
              </w:rPr>
              <w:t>o </w:t>
            </w:r>
            <w:r w:rsidRPr="0039555E">
              <w:rPr>
                <w:sz w:val="20"/>
                <w:szCs w:val="20"/>
              </w:rPr>
              <w:t>wartościach: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</w:t>
            </w:r>
            <w:r w:rsidR="00A763E8" w:rsidRPr="0039555E">
              <w:rPr>
                <w:sz w:val="20"/>
                <w:szCs w:val="20"/>
              </w:rPr>
              <w:t>iczba białych krwinek ≥ 2000/μl,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granulocy</w:t>
            </w:r>
            <w:r w:rsidR="00A763E8" w:rsidRPr="0039555E">
              <w:rPr>
                <w:sz w:val="20"/>
                <w:szCs w:val="20"/>
              </w:rPr>
              <w:t>tów obojętnochłonnych ≥ 1000/μl,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płytek ≥ 75 x 10</w:t>
            </w:r>
            <w:r w:rsidRPr="0039555E">
              <w:rPr>
                <w:sz w:val="20"/>
                <w:szCs w:val="20"/>
                <w:vertAlign w:val="superscript"/>
              </w:rPr>
              <w:t>3</w:t>
            </w:r>
            <w:r w:rsidR="00A763E8" w:rsidRPr="0039555E">
              <w:rPr>
                <w:sz w:val="20"/>
                <w:szCs w:val="20"/>
              </w:rPr>
              <w:t>/μl,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stężenie hemoglobiny ≥9 g/dl (możliwe przetoczenie </w:t>
            </w:r>
            <w:r w:rsidR="00A763E8" w:rsidRPr="0039555E">
              <w:rPr>
                <w:sz w:val="20"/>
                <w:szCs w:val="20"/>
              </w:rPr>
              <w:t>krwi/produktów krwiopochodnych),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stężenie kreatyniny </w:t>
            </w:r>
            <w:r w:rsidR="00A763E8" w:rsidRPr="0039555E">
              <w:rPr>
                <w:sz w:val="20"/>
                <w:szCs w:val="20"/>
              </w:rPr>
              <w:t>≤ 2 x GGN (górna granica normy),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aktywność aminotransferaz AST/ALT ≤ 2,5 x GGN </w:t>
            </w:r>
            <w:r w:rsidR="00A763E8" w:rsidRPr="0039555E">
              <w:rPr>
                <w:sz w:val="20"/>
                <w:szCs w:val="20"/>
              </w:rPr>
              <w:t>u </w:t>
            </w:r>
            <w:r w:rsidRPr="0039555E">
              <w:rPr>
                <w:sz w:val="20"/>
                <w:szCs w:val="20"/>
              </w:rPr>
              <w:t>pacjentów bez przerzutów do w</w:t>
            </w:r>
            <w:r w:rsidR="00A763E8" w:rsidRPr="0039555E">
              <w:rPr>
                <w:sz w:val="20"/>
                <w:szCs w:val="20"/>
              </w:rPr>
              <w:t>ątroby i ≤ 5 x GGN u </w:t>
            </w:r>
            <w:r w:rsidR="00B81A03" w:rsidRPr="0039555E">
              <w:rPr>
                <w:sz w:val="20"/>
                <w:szCs w:val="20"/>
              </w:rPr>
              <w:t xml:space="preserve">pacjentów </w:t>
            </w:r>
            <w:r w:rsidR="00A763E8" w:rsidRPr="0039555E">
              <w:rPr>
                <w:sz w:val="20"/>
                <w:szCs w:val="20"/>
              </w:rPr>
              <w:t>z przerzutami do wątroby,</w:t>
            </w:r>
          </w:p>
          <w:p w:rsidR="00162266" w:rsidRPr="0039555E" w:rsidRDefault="00162266" w:rsidP="00767217">
            <w:pPr>
              <w:numPr>
                <w:ilvl w:val="1"/>
                <w:numId w:val="1"/>
              </w:numPr>
              <w:tabs>
                <w:tab w:val="clear" w:pos="1080"/>
                <w:tab w:val="num" w:pos="-1418"/>
              </w:tabs>
              <w:spacing w:line="276" w:lineRule="auto"/>
              <w:ind w:left="709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stężenie bilirubiny ≤ 2 x GGN (z wyjątkiem pacjentów z zespołem Gilberta, u których stężenie bilirubiny całkowitej musi być niższe niż 3,0 mg/dl).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2. Określenie czasu leczenia w programie: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Leczenie – w przypadku dobrej tolerancji i uzyskania obiektywnych korzyści – może trwać 10 tygodni (zastosowanie leku w tygodniach 1., 4., 7. i 10.). W przypadku wystąpienia objawów nietolerancji lub cech progresji choroby według kryteriów immunologicznej odpowiedzi leczenie powinno być </w:t>
            </w:r>
            <w:r w:rsidR="0070454F" w:rsidRPr="0039555E">
              <w:rPr>
                <w:sz w:val="20"/>
                <w:szCs w:val="20"/>
              </w:rPr>
              <w:t>odroczone</w:t>
            </w:r>
            <w:r w:rsidRPr="0039555E">
              <w:rPr>
                <w:sz w:val="20"/>
                <w:szCs w:val="20"/>
              </w:rPr>
              <w:t xml:space="preserve"> lub przerywane.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A763E8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</w:t>
            </w:r>
            <w:r w:rsidR="00162266" w:rsidRPr="0039555E">
              <w:rPr>
                <w:sz w:val="20"/>
                <w:szCs w:val="20"/>
              </w:rPr>
              <w:t>ryteria immunologicznej odpowiedzi: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irCR – całkowite ustąpienie wszystkich zmian (mierzalnych i niemierzalnych oraz brak nowych zmian) potwierdzone przez powtórną oceną wykonaną nie mniej niż 4 tygodnie od daty pierwszej dokumentacji;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irPR – zmniejszenie się zaawansowania nowotworu </w:t>
            </w:r>
            <w:r w:rsidRPr="0039555E">
              <w:rPr>
                <w:sz w:val="20"/>
                <w:szCs w:val="20"/>
              </w:rPr>
              <w:sym w:font="Symbol" w:char="F0B3"/>
            </w:r>
            <w:r w:rsidRPr="0039555E">
              <w:rPr>
                <w:sz w:val="20"/>
                <w:szCs w:val="20"/>
              </w:rPr>
              <w:t xml:space="preserve"> 50% względem stanu wyjściowego potwierdzone kolejną oceną </w:t>
            </w:r>
            <w:r w:rsidRPr="0039555E">
              <w:rPr>
                <w:sz w:val="20"/>
                <w:szCs w:val="20"/>
              </w:rPr>
              <w:lastRenderedPageBreak/>
              <w:t>wykonana przynajmniej 4 tygodnie po pierwszej dokumentacji;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irSD – nieobecność kryteriów irCR lub irPR oraz nieobecność irPD;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8"/>
              </w:numPr>
              <w:spacing w:line="276" w:lineRule="auto"/>
              <w:ind w:left="284" w:hanging="218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irPD – zwiększenie zaawansowania guza o </w:t>
            </w:r>
            <w:r w:rsidRPr="0039555E">
              <w:rPr>
                <w:sz w:val="20"/>
                <w:szCs w:val="20"/>
              </w:rPr>
              <w:sym w:font="Symbol" w:char="F0B3"/>
            </w:r>
            <w:r w:rsidRPr="0039555E">
              <w:rPr>
                <w:sz w:val="20"/>
                <w:szCs w:val="20"/>
              </w:rPr>
              <w:t xml:space="preserve"> 25% względem minimalnego zarejestrowanego stopnia zaawansowania potwierdzone powtórną oceną wykonaną nie mniej niż 4 tygodnie od daty pierwszej dokumentacji.</w:t>
            </w:r>
          </w:p>
          <w:p w:rsidR="00162266" w:rsidRPr="0039555E" w:rsidRDefault="00162266" w:rsidP="00623E60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Czasowe przerwanie (zawieszenie) leczenia może mieć miejsce w przypadku wystąpienia poważnych działań niepożądanych lub znaczącego pogorszenia stanu sprawności pacjenta.</w:t>
            </w:r>
          </w:p>
          <w:p w:rsidR="00162266" w:rsidRPr="0039555E" w:rsidRDefault="00162266" w:rsidP="00623E60">
            <w:pPr>
              <w:spacing w:line="276" w:lineRule="auto"/>
              <w:rPr>
                <w:b/>
                <w:iCs/>
                <w:sz w:val="20"/>
                <w:szCs w:val="20"/>
                <w:u w:val="single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W razie wystąpienia przynajmniej jednego z następujących zdarzeń niepożądanych konieczne może być wstrzymanie dawki ipilimumabu: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9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jakiekolwiek zdarzenie niepożądane stopnia ≥ 2 niezwiązane ze skórą (włącznie z irAE), z wyjątkiem nieprawidłowych wyników badań laboratoryjnych;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9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jakikolwiek nieprawidłowy wynik badania laboratoryjnego w stopniu ≥ 3;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9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jakiekolwiek zdarzenie niepożądane stopnia ≥ 3 dotyczące skóry, niezależnie od związku przyczynowego.</w:t>
            </w: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Należy wznowić leczenie ipilimumabem, jeżeli nasilenie zdarzeń niepożądanych zmniejszy się do stopnia ≤ 1 a następnie powrócić do dawkowania do chwili podania wszystkich 4 dawek lub do 16 tygodni po pierwszej dawce, cokolwiek nastąpi wcześniej.</w:t>
            </w:r>
            <w:r w:rsidRPr="0039555E" w:rsidDel="00FA16B8">
              <w:rPr>
                <w:iCs/>
                <w:sz w:val="20"/>
                <w:szCs w:val="20"/>
              </w:rPr>
              <w:t xml:space="preserve"> </w:t>
            </w:r>
          </w:p>
          <w:p w:rsidR="00B26112" w:rsidRPr="0039555E" w:rsidRDefault="00B26112" w:rsidP="00623E60">
            <w:pPr>
              <w:spacing w:line="276" w:lineRule="auto"/>
              <w:rPr>
                <w:iCs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Następujące zdarzenia niepożądane związane z leczeniem wymagają trwałego przerwania leczenia ipilimumabem: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lastRenderedPageBreak/>
              <w:t>jakiekolwiek zdarzenie niepożądane w stopniu ≥ 3 niezwiązane ze skórą, z wyjątkiem nieprawidłowych wyników badań laboratoryjnych;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jakikolwiek nieprawidłowy wynik badania laboratoryjnego stopnia ≥ 4 z wyjątkiem AST, ALT lub bilirubiny całkowitej;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aktywność AST lub ALT &gt;8 GGN;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stężenie bilirubiny całkowitej &gt; 5 GGN;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dowolne inne zdarzenie niepożądane stopnia ≥ 4;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10"/>
              </w:numPr>
              <w:spacing w:line="276" w:lineRule="auto"/>
              <w:ind w:left="284" w:hanging="284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jakikolwiek ból oka lub zmniejszenie ostrości widzenia stopnia ≥ 2, które nie reaguje na leczenie miejscowe i nie ulega poprawie do stopnia ≤ 1 w </w:t>
            </w:r>
            <w:r w:rsidR="00B26112" w:rsidRPr="0039555E">
              <w:rPr>
                <w:iCs/>
                <w:sz w:val="20"/>
                <w:szCs w:val="20"/>
              </w:rPr>
              <w:t>ciągu 2 tygodni od  </w:t>
            </w:r>
            <w:r w:rsidRPr="0039555E">
              <w:rPr>
                <w:iCs/>
                <w:sz w:val="20"/>
                <w:szCs w:val="20"/>
              </w:rPr>
              <w:t>rozpoczęcia leczenia, bądź które wymaga leczenia ogólnoustrojowego.</w:t>
            </w: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3. Kryteria wyłączenia z programu: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kobiety w wieku rozrodczym, które nie chcą lub nie są </w:t>
            </w:r>
            <w:r w:rsidR="00B26112" w:rsidRPr="0039555E">
              <w:rPr>
                <w:sz w:val="20"/>
                <w:szCs w:val="20"/>
              </w:rPr>
              <w:t>w </w:t>
            </w:r>
            <w:r w:rsidRPr="0039555E">
              <w:rPr>
                <w:sz w:val="20"/>
                <w:szCs w:val="20"/>
              </w:rPr>
              <w:t xml:space="preserve">stanie stosować dopuszczalnej metody antykoncepcji w celu uniknięcia ciąży przez </w:t>
            </w:r>
            <w:r w:rsidR="00B26112" w:rsidRPr="0039555E">
              <w:rPr>
                <w:sz w:val="20"/>
                <w:szCs w:val="20"/>
              </w:rPr>
              <w:t>cały okres badania oraz przez 8 </w:t>
            </w:r>
            <w:r w:rsidRPr="0039555E">
              <w:rPr>
                <w:sz w:val="20"/>
                <w:szCs w:val="20"/>
              </w:rPr>
              <w:t>tygodni po jego zakończeniu;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kobiety w ciąży lub karmiące piersią;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kobiety z dodatnim wynikiem testu ciążowego przy włączeniu do badania lub przed podaniem ipilimumabu;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przyjmujący jakiekolwiek inne ogólnoustrojowe leczenie przeciwnowotworowe (w tym – jakiekolwiek leczenie eksperymentalne);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z autoimmunologicznymi chorobami – potwierdzoną chorobą zapalną jelit w wywiadzie (w tym – wrzodziejące zapalenie jelita grubego i choroba Leśniowskiego-Crohna), objawową chorobą układową w wywiadzie (np. reumatoidalne zapalenie stawów, postępująca twardzina uogólniona, toczeń rumieniowaty układowy, autoimmunologiczne zapalenie naczyń), zaburzenia neuropatyczne pochodzenia autoimmunologicznego (zespół Guillaina-Barrégo lub miastenia). Nie dotyczy przypadków występowania bielactwa nabytego;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z potwierdzonym zakażeniem HIV, HBV lub HCV (niezależnie od skuteczności stosowanego leczenia przeciwwirusowego);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chorzy z innym współistniejącym nowotworem złośliwym (wyjątek – odpowiednio leczony rak podstawnokomórkowy lub płaskonabłonkowy skóry, rak powierzchniowy pęcherza lub rak szyjki macicy </w:t>
            </w:r>
            <w:r w:rsidRPr="0039555E">
              <w:rPr>
                <w:i/>
                <w:sz w:val="20"/>
                <w:szCs w:val="20"/>
              </w:rPr>
              <w:t>in situ</w:t>
            </w:r>
            <w:r w:rsidRPr="0039555E">
              <w:rPr>
                <w:sz w:val="20"/>
                <w:szCs w:val="20"/>
              </w:rPr>
              <w:t>);</w:t>
            </w:r>
          </w:p>
          <w:p w:rsidR="00162266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przyjmujący jakiekolwiek nieonkologiczne szczepienia przeciwko chorobom zakaźnym w okresie 4 tygodni przed i 4 tygodni po każdej dawce ip</w:t>
            </w:r>
            <w:r w:rsidR="00705138" w:rsidRPr="0039555E">
              <w:rPr>
                <w:sz w:val="20"/>
                <w:szCs w:val="20"/>
              </w:rPr>
              <w:t>ilimumabu (wyjątek – amantadyna</w:t>
            </w:r>
            <w:r w:rsidRPr="0039555E">
              <w:rPr>
                <w:sz w:val="20"/>
                <w:szCs w:val="20"/>
              </w:rPr>
              <w:t xml:space="preserve"> i flumadyna);</w:t>
            </w:r>
          </w:p>
          <w:p w:rsidR="006E0955" w:rsidRPr="0039555E" w:rsidRDefault="00162266" w:rsidP="00767217">
            <w:pPr>
              <w:numPr>
                <w:ilvl w:val="0"/>
                <w:numId w:val="2"/>
              </w:numPr>
              <w:tabs>
                <w:tab w:val="num" w:pos="-1276"/>
              </w:tabs>
              <w:spacing w:line="276" w:lineRule="auto"/>
              <w:ind w:left="284" w:hanging="284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ze stanami zagrażającymi życiu, które wymagają podawania dużych dawek leków immunosupresyjnych oraz długotrwał</w:t>
            </w:r>
            <w:r w:rsidR="006E0955" w:rsidRPr="0039555E">
              <w:rPr>
                <w:sz w:val="20"/>
                <w:szCs w:val="20"/>
              </w:rPr>
              <w:t>ego stosowania kortykosteroidów</w:t>
            </w:r>
          </w:p>
          <w:p w:rsidR="00B31384" w:rsidRPr="0039555E" w:rsidRDefault="00162266" w:rsidP="00767217">
            <w:pPr>
              <w:numPr>
                <w:ilvl w:val="0"/>
                <w:numId w:val="2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chorzy na czerniaka gałki ocznej.</w:t>
            </w:r>
          </w:p>
          <w:p w:rsidR="00B31384" w:rsidRPr="0039555E" w:rsidRDefault="002540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7" w:type="pct"/>
            <w:shd w:val="clear" w:color="auto" w:fill="auto"/>
          </w:tcPr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b/>
                <w:iCs/>
                <w:sz w:val="20"/>
                <w:szCs w:val="20"/>
              </w:rPr>
              <w:lastRenderedPageBreak/>
              <w:t>1. Dawkowanie: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Zalecana daw</w:t>
            </w:r>
            <w:r w:rsidR="00D15FBD" w:rsidRPr="0039555E">
              <w:rPr>
                <w:iCs/>
                <w:sz w:val="20"/>
                <w:szCs w:val="20"/>
              </w:rPr>
              <w:t>ka ipilimumabu wynosi 3 mg/kg i </w:t>
            </w:r>
            <w:r w:rsidRPr="0039555E">
              <w:rPr>
                <w:iCs/>
                <w:sz w:val="20"/>
                <w:szCs w:val="20"/>
              </w:rPr>
              <w:t xml:space="preserve">obejmuje 4 podania w odstępach co 3 tygodnie (leczenie w tygodniach 1, 4, 7 i 10). </w:t>
            </w:r>
          </w:p>
          <w:p w:rsidR="00D15FBD" w:rsidRPr="0039555E" w:rsidRDefault="00D15FBD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Lek podawany jest w 90-minutowym wlewie dożylnym. Zaleca się pierwszą pełną ocenę odpowiedzi nowotworu na leczenie po tygodniu 12 </w:t>
            </w:r>
            <w:r w:rsidRPr="0039555E">
              <w:rPr>
                <w:rFonts w:eastAsia="Calibri"/>
                <w:iCs/>
                <w:sz w:val="20"/>
                <w:szCs w:val="20"/>
                <w:lang w:eastAsia="en-US"/>
              </w:rPr>
              <w:t>lub po podaniu o</w:t>
            </w:r>
            <w:r w:rsidR="0041255B" w:rsidRPr="0039555E">
              <w:rPr>
                <w:rFonts w:eastAsia="Calibri"/>
                <w:iCs/>
                <w:sz w:val="20"/>
                <w:szCs w:val="20"/>
                <w:lang w:eastAsia="en-US"/>
              </w:rPr>
              <w:t>statniej dawki całego leczenia.</w:t>
            </w:r>
            <w:r w:rsidRPr="0039555E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Dawkę całkowitą należy obliczyć następująco: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left="177" w:hanging="183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masa ciała pacjenta</w:t>
            </w:r>
            <w:r w:rsidR="00D15FBD" w:rsidRPr="0039555E">
              <w:rPr>
                <w:iCs/>
                <w:sz w:val="20"/>
                <w:szCs w:val="20"/>
              </w:rPr>
              <w:t xml:space="preserve"> w kg x 3 mg = dawka całkowita w mg.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Całkowitą objętość wlewu należy obliczyć następująco:</w:t>
            </w:r>
          </w:p>
          <w:p w:rsidR="00162266" w:rsidRPr="0039555E" w:rsidRDefault="00162266" w:rsidP="0076721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177" w:hanging="183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dawka całkowita w mg </w:t>
            </w:r>
            <w:r w:rsidR="00D15FBD" w:rsidRPr="0039555E">
              <w:rPr>
                <w:iCs/>
                <w:sz w:val="20"/>
                <w:szCs w:val="20"/>
              </w:rPr>
              <w:t>÷ 5 mg/ml = objętość wlewu w ml.</w:t>
            </w:r>
          </w:p>
          <w:p w:rsidR="00162266" w:rsidRPr="0039555E" w:rsidRDefault="00162266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>Szybkość wlewu należy obliczyć następująco:</w:t>
            </w:r>
          </w:p>
          <w:p w:rsidR="00623E60" w:rsidRPr="0039555E" w:rsidRDefault="00162266" w:rsidP="0076721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ind w:left="177" w:hanging="183"/>
              <w:rPr>
                <w:iCs/>
                <w:sz w:val="20"/>
                <w:szCs w:val="20"/>
              </w:rPr>
            </w:pPr>
            <w:r w:rsidRPr="0039555E">
              <w:rPr>
                <w:iCs/>
                <w:sz w:val="20"/>
                <w:szCs w:val="20"/>
              </w:rPr>
              <w:t xml:space="preserve">objętość wlewu w </w:t>
            </w:r>
            <w:r w:rsidR="00D15FBD" w:rsidRPr="0039555E">
              <w:rPr>
                <w:iCs/>
                <w:sz w:val="20"/>
                <w:szCs w:val="20"/>
              </w:rPr>
              <w:t>ml ÷ 90 minut = szybkość wlewu w ml/min.</w:t>
            </w:r>
          </w:p>
          <w:p w:rsidR="00EE0273" w:rsidRPr="0039555E" w:rsidRDefault="00EE0273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EE0273" w:rsidRPr="0039555E" w:rsidRDefault="00EE0273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Ipilimumab nie może być stosowany łącznie z:</w:t>
            </w:r>
          </w:p>
          <w:p w:rsidR="00EE0273" w:rsidRPr="0039555E" w:rsidRDefault="00EE0273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EE0273" w:rsidRPr="0039555E" w:rsidRDefault="00EE0273" w:rsidP="0076721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lastRenderedPageBreak/>
              <w:t>innym przeciwciałem monoklonalnym;</w:t>
            </w:r>
          </w:p>
          <w:p w:rsidR="00EE0273" w:rsidRPr="0039555E" w:rsidRDefault="00EE0273" w:rsidP="00767217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BRAF;</w:t>
            </w:r>
          </w:p>
          <w:p w:rsidR="00EE0273" w:rsidRPr="0039555E" w:rsidRDefault="00EE0273" w:rsidP="00767217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MEK.</w:t>
            </w:r>
          </w:p>
          <w:p w:rsidR="00360A41" w:rsidRPr="0039555E" w:rsidRDefault="00360A41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BB03DE" w:rsidRPr="0039555E" w:rsidRDefault="00BB03DE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360A41" w:rsidRPr="0039555E" w:rsidRDefault="00360A41" w:rsidP="00623E60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0"/>
                <w:szCs w:val="20"/>
              </w:rPr>
            </w:pPr>
          </w:p>
          <w:p w:rsidR="002540DB" w:rsidRPr="0039555E" w:rsidRDefault="002540DB" w:rsidP="00623E60">
            <w:pPr>
              <w:spacing w:line="276" w:lineRule="auto"/>
              <w:rPr>
                <w:iCs/>
                <w:sz w:val="20"/>
                <w:szCs w:val="20"/>
              </w:rPr>
            </w:pPr>
          </w:p>
        </w:tc>
        <w:tc>
          <w:tcPr>
            <w:tcW w:w="1788" w:type="pct"/>
            <w:shd w:val="clear" w:color="auto" w:fill="auto"/>
          </w:tcPr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lastRenderedPageBreak/>
              <w:t>1</w:t>
            </w:r>
            <w:r w:rsidR="00B81A03" w:rsidRPr="0039555E">
              <w:rPr>
                <w:b/>
                <w:bCs/>
                <w:sz w:val="20"/>
                <w:szCs w:val="20"/>
              </w:rPr>
              <w:t xml:space="preserve">. </w:t>
            </w:r>
            <w:r w:rsidRPr="0039555E">
              <w:rPr>
                <w:b/>
                <w:bCs/>
                <w:sz w:val="20"/>
                <w:szCs w:val="20"/>
              </w:rPr>
              <w:t>Badania przy kwalifikacji: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histologiczne potwierdzenie czerniaka; 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diagnostyka obrazowa: RTG, TK lub MRI (USG </w:t>
            </w:r>
            <w:r w:rsidRPr="0039555E">
              <w:rPr>
                <w:sz w:val="20"/>
                <w:szCs w:val="20"/>
              </w:rPr>
              <w:br/>
              <w:t>w wybranych przypadkach – zmiany w tkance podskórnej/skórze);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pomiar masy ciała;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pełne badanie przedmiotowe;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sprawności w skali ECOG;</w:t>
            </w:r>
          </w:p>
          <w:p w:rsidR="00162266" w:rsidRPr="0039555E" w:rsidRDefault="00162266" w:rsidP="00767217">
            <w:pPr>
              <w:numPr>
                <w:ilvl w:val="0"/>
                <w:numId w:val="3"/>
              </w:numPr>
              <w:tabs>
                <w:tab w:val="clear" w:pos="267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laboratoryjne:</w:t>
            </w:r>
          </w:p>
          <w:p w:rsidR="00162266" w:rsidRPr="0039555E" w:rsidRDefault="00162266" w:rsidP="00767217">
            <w:pPr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hematologiczne: hemoglobina, pełna morfologia z rozmazem (włącznie z bezwzględną liczbą</w:t>
            </w:r>
            <w:r w:rsidR="00B81A03" w:rsidRPr="0039555E">
              <w:rPr>
                <w:sz w:val="20"/>
                <w:szCs w:val="20"/>
              </w:rPr>
              <w:t xml:space="preserve"> limfocytów) oraz liczbą płytek,</w:t>
            </w:r>
          </w:p>
          <w:p w:rsidR="00162266" w:rsidRPr="0039555E" w:rsidRDefault="00162266" w:rsidP="00767217">
            <w:pPr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parametry biochemiczne surowicy: albuminy, fosfataza alkaliczna, amylaza, aminotransferazy (ALT/AST), bilirubina (związana i całkowita), wapń, kreatynina, glukoza, mocznik, dehydrogenaza mleczanowa (LDH), białko całkowite, kwas moczowy, elektrolity (w tym stężenie sodu, </w:t>
            </w:r>
            <w:r w:rsidR="00B81A03" w:rsidRPr="0039555E">
              <w:rPr>
                <w:sz w:val="20"/>
                <w:szCs w:val="20"/>
              </w:rPr>
              <w:t>potasu, wapnia), TSH i wolna T4,</w:t>
            </w:r>
          </w:p>
          <w:p w:rsidR="00162266" w:rsidRPr="0039555E" w:rsidRDefault="00162266" w:rsidP="00767217">
            <w:pPr>
              <w:numPr>
                <w:ilvl w:val="1"/>
                <w:numId w:val="3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 xml:space="preserve"> 2. Monitorowanie leczenia: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lastRenderedPageBreak/>
              <w:t xml:space="preserve">diagnostyka obrazowa: RTG, TK lub MRI (USG </w:t>
            </w:r>
            <w:r w:rsidR="006E451F" w:rsidRPr="0039555E">
              <w:rPr>
                <w:sz w:val="20"/>
                <w:szCs w:val="20"/>
              </w:rPr>
              <w:t>w </w:t>
            </w:r>
            <w:r w:rsidRPr="0039555E">
              <w:rPr>
                <w:sz w:val="20"/>
                <w:szCs w:val="20"/>
              </w:rPr>
              <w:t xml:space="preserve">wybranych przypadkach) – po 12 tygodniach leczenia; 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pomiar masy ciała;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pełne badanie przedmiotowe;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sprawności w skali ECOG;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tabs>
                <w:tab w:val="clear" w:pos="360"/>
                <w:tab w:val="num" w:pos="-11450"/>
              </w:tabs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laboratoryjne:</w:t>
            </w:r>
          </w:p>
          <w:p w:rsidR="00162266" w:rsidRPr="0039555E" w:rsidRDefault="00162266" w:rsidP="00767217">
            <w:pPr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hematologiczne: hemoglobina, pełna morfologia z rozmazem (włącznie z bezwzględną liczbą</w:t>
            </w:r>
            <w:r w:rsidR="00B81A03" w:rsidRPr="0039555E">
              <w:rPr>
                <w:sz w:val="20"/>
                <w:szCs w:val="20"/>
              </w:rPr>
              <w:t xml:space="preserve"> limfocytów) oraz liczbą płytek,</w:t>
            </w:r>
          </w:p>
          <w:p w:rsidR="00162266" w:rsidRPr="0039555E" w:rsidRDefault="00162266" w:rsidP="00767217">
            <w:pPr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 albuminy, fosfataza alkaliczna, amylaza, aminotransferazy (ALT/AST), bilirubina (związana i całkowita), wapń, kreatynina, mocznik, kwas moczowy, glukoza, dehydrogenaza mleczanowa (LDH), białko całkowite, elektrolity (w tym stężeni</w:t>
            </w:r>
            <w:r w:rsidR="002E6064" w:rsidRPr="0039555E">
              <w:rPr>
                <w:sz w:val="20"/>
                <w:szCs w:val="20"/>
              </w:rPr>
              <w:t>e sodu, potasu), TSH i wolna T4,</w:t>
            </w:r>
          </w:p>
          <w:p w:rsidR="00162266" w:rsidRPr="0039555E" w:rsidRDefault="00162266" w:rsidP="00767217">
            <w:pPr>
              <w:numPr>
                <w:ilvl w:val="1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moczu;</w:t>
            </w:r>
          </w:p>
          <w:p w:rsidR="00162266" w:rsidRPr="0039555E" w:rsidRDefault="00162266" w:rsidP="00767217">
            <w:pPr>
              <w:numPr>
                <w:ilvl w:val="0"/>
                <w:numId w:val="4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zdarzeń niepożądanych.</w:t>
            </w:r>
          </w:p>
          <w:p w:rsidR="002E6064" w:rsidRPr="0039555E" w:rsidRDefault="002E6064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Wyniki ws</w:t>
            </w:r>
            <w:r w:rsidR="00D15FBD" w:rsidRPr="0039555E">
              <w:rPr>
                <w:sz w:val="20"/>
                <w:szCs w:val="20"/>
              </w:rPr>
              <w:t xml:space="preserve">zystkich badań (biochemicznych  </w:t>
            </w:r>
            <w:r w:rsidRPr="0039555E">
              <w:rPr>
                <w:sz w:val="20"/>
                <w:szCs w:val="20"/>
              </w:rPr>
              <w:t>i hematologicznych), muszą być dost</w:t>
            </w:r>
            <w:r w:rsidR="00D15FBD" w:rsidRPr="0039555E">
              <w:rPr>
                <w:sz w:val="20"/>
                <w:szCs w:val="20"/>
              </w:rPr>
              <w:t xml:space="preserve">ępne  </w:t>
            </w:r>
            <w:r w:rsidRPr="0039555E">
              <w:rPr>
                <w:sz w:val="20"/>
                <w:szCs w:val="20"/>
              </w:rPr>
              <w:t>i przeanalizowa</w:t>
            </w:r>
            <w:r w:rsidR="00B81A03" w:rsidRPr="0039555E">
              <w:rPr>
                <w:sz w:val="20"/>
                <w:szCs w:val="20"/>
              </w:rPr>
              <w:t xml:space="preserve">ne przed każdym podaniem leku. </w:t>
            </w:r>
            <w:r w:rsidRPr="0039555E">
              <w:rPr>
                <w:sz w:val="20"/>
                <w:szCs w:val="20"/>
              </w:rPr>
              <w:t xml:space="preserve">Zaleca się, aby wszystkie próbki do badań laboratoryjnych </w:t>
            </w:r>
            <w:r w:rsidR="00D15FBD" w:rsidRPr="0039555E">
              <w:rPr>
                <w:sz w:val="20"/>
                <w:szCs w:val="20"/>
              </w:rPr>
              <w:t>w </w:t>
            </w:r>
            <w:r w:rsidRPr="0039555E">
              <w:rPr>
                <w:sz w:val="20"/>
                <w:szCs w:val="20"/>
              </w:rPr>
              <w:t>fazie indukcji były pobrane w okresie do 7 dni przed podaniem dawki ipilimumabu.</w:t>
            </w:r>
          </w:p>
          <w:p w:rsidR="00162266" w:rsidRPr="0039555E" w:rsidRDefault="00162266" w:rsidP="00623E60">
            <w:pPr>
              <w:spacing w:line="276" w:lineRule="auto"/>
              <w:rPr>
                <w:sz w:val="20"/>
                <w:szCs w:val="20"/>
              </w:rPr>
            </w:pPr>
          </w:p>
          <w:p w:rsidR="00162266" w:rsidRPr="0039555E" w:rsidRDefault="00162266" w:rsidP="00623E60">
            <w:pPr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3. Monitorowanie programu:</w:t>
            </w:r>
          </w:p>
          <w:p w:rsidR="00162266" w:rsidRPr="0039555E" w:rsidRDefault="00162266" w:rsidP="00767217">
            <w:pPr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gromadzenie w dokumentacji medycznej pacjenta danych dotyczących monitorowania leczenia i każdorazowe ich przedst</w:t>
            </w:r>
            <w:r w:rsidR="00B81A03" w:rsidRPr="0039555E">
              <w:rPr>
                <w:sz w:val="20"/>
                <w:szCs w:val="20"/>
              </w:rPr>
              <w:t xml:space="preserve">awianie na żądanie kontrolerów </w:t>
            </w:r>
            <w:r w:rsidRPr="0039555E">
              <w:rPr>
                <w:sz w:val="20"/>
                <w:szCs w:val="20"/>
              </w:rPr>
              <w:t>Narodowego Funduszu Zdrowia;</w:t>
            </w:r>
          </w:p>
          <w:p w:rsidR="00162266" w:rsidRPr="0039555E" w:rsidRDefault="00162266" w:rsidP="00767217">
            <w:pPr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uzupełnienie danych zawartych w rejestrze (SMPT) dostępnym za pomocą aplikacji internetowej udostępnionej </w:t>
            </w:r>
            <w:r w:rsidRPr="0039555E">
              <w:rPr>
                <w:sz w:val="20"/>
                <w:szCs w:val="20"/>
              </w:rPr>
              <w:lastRenderedPageBreak/>
              <w:t>przez OW NFZ, z częstotliwością zgodną z opisem programu oraz na zakończenie leczenia;</w:t>
            </w:r>
          </w:p>
          <w:p w:rsidR="00162266" w:rsidRPr="0039555E" w:rsidRDefault="00162266" w:rsidP="00767217">
            <w:pPr>
              <w:numPr>
                <w:ilvl w:val="0"/>
                <w:numId w:val="5"/>
              </w:numPr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  <w:p w:rsidR="002540DB" w:rsidRPr="0039555E" w:rsidRDefault="002540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  <w:tr w:rsidR="00341CDB" w:rsidRPr="0039555E" w:rsidTr="00341CDB">
        <w:tc>
          <w:tcPr>
            <w:tcW w:w="5000" w:type="pct"/>
            <w:gridSpan w:val="3"/>
            <w:shd w:val="clear" w:color="auto" w:fill="auto"/>
          </w:tcPr>
          <w:p w:rsidR="00623E60" w:rsidRPr="0039555E" w:rsidRDefault="00623E60" w:rsidP="00623E6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341CDB" w:rsidRPr="0039555E" w:rsidRDefault="00341CDB" w:rsidP="00623E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 xml:space="preserve">Leczenie czerniaka skóry lub błon śluzowych </w:t>
            </w:r>
            <w:proofErr w:type="spellStart"/>
            <w:r w:rsidRPr="0039555E">
              <w:rPr>
                <w:b/>
                <w:sz w:val="20"/>
                <w:szCs w:val="20"/>
              </w:rPr>
              <w:t>niwolumabem</w:t>
            </w:r>
            <w:proofErr w:type="spellEnd"/>
            <w:r w:rsidRPr="0039555E">
              <w:rPr>
                <w:b/>
                <w:sz w:val="20"/>
                <w:szCs w:val="20"/>
              </w:rPr>
              <w:t xml:space="preserve"> lub </w:t>
            </w:r>
            <w:proofErr w:type="spellStart"/>
            <w:r w:rsidRPr="0039555E">
              <w:rPr>
                <w:b/>
                <w:sz w:val="20"/>
                <w:szCs w:val="20"/>
              </w:rPr>
              <w:t>pembrolizumabem</w:t>
            </w:r>
            <w:proofErr w:type="spellEnd"/>
          </w:p>
          <w:p w:rsidR="00341CDB" w:rsidRPr="0039555E" w:rsidRDefault="00341CDB" w:rsidP="00623E60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</w:tr>
      <w:tr w:rsidR="00341CDB" w:rsidRPr="0039555E" w:rsidTr="00C04488">
        <w:tc>
          <w:tcPr>
            <w:tcW w:w="1805" w:type="pct"/>
            <w:shd w:val="clear" w:color="auto" w:fill="auto"/>
          </w:tcPr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Kryteria kwalifikacji</w:t>
            </w:r>
            <w:r w:rsidR="00623E60" w:rsidRPr="0039555E">
              <w:rPr>
                <w:b/>
                <w:bCs/>
                <w:sz w:val="20"/>
                <w:szCs w:val="20"/>
              </w:rPr>
              <w:t>: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histologiczne potwierdzenie czerniaka skóry lub błon śluzowych w stadium zaawansowania III (nieoperacyjny) lub IV;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zmiany nowotworowe umożliwiające ocenę odpowiedzi na leczenie według kryteriów aktualnej wersji RECIST;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wcześniejszego leczenia farmakologicznego z powodu czerniaka skóry albo nieskuteczne wcześniejsze jedno leczenie systemowe czerniaka lub brak tolerancji nie pozwalający na jego kontynuację. Za farmakologiczne leczenie systemowe nie uznaje się uzupełniającego leczenia pooperacyjnego;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wcześniejszego leczenia za pomocą przeciwciał monoklonalnych anty-PD-1;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rozpoczynanie leczenia </w:t>
            </w:r>
            <w:proofErr w:type="spellStart"/>
            <w:r w:rsidRPr="0039555E">
              <w:rPr>
                <w:sz w:val="20"/>
                <w:szCs w:val="20"/>
              </w:rPr>
              <w:t>niwolumabem</w:t>
            </w:r>
            <w:proofErr w:type="spellEnd"/>
            <w:r w:rsidRPr="0039555E">
              <w:rPr>
                <w:sz w:val="20"/>
                <w:szCs w:val="20"/>
              </w:rPr>
              <w:t xml:space="preserve"> lub </w:t>
            </w:r>
            <w:proofErr w:type="spellStart"/>
            <w:r w:rsidRPr="0039555E">
              <w:rPr>
                <w:sz w:val="20"/>
                <w:szCs w:val="20"/>
              </w:rPr>
              <w:t>pembrolizumabem</w:t>
            </w:r>
            <w:proofErr w:type="spellEnd"/>
            <w:r w:rsidRPr="0039555E">
              <w:rPr>
                <w:sz w:val="20"/>
                <w:szCs w:val="20"/>
              </w:rPr>
              <w:t xml:space="preserve"> w chwili ustąpienia wszystkich klinicznie istotnych działań niepożądanych wcześniejszego leczenia;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objawowych przerzutów do ośrodkowego układu nerwowego lub stan bezobjawowy po przebytym leczeniu chirurgicznym lub radioterapii przerzutów w mózgu;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wiek ≥ 18 lat;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stan sprawności według kryteriów ECOG w stopniu 0-1;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wyniki badania morfologii oraz badań biochemicznych krwi umożliwiające leczenie zgodnie z aktualną Charakterystyką Produktu Leczniczego, a w szczególności: 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leukocytów ≥ 2000/µL,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granulocytów obojętnochłonnych ≥ 1000/µL,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liczba płytek ≥ 75 000/µL,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stężenie hemoglobiny ≥ 9 g/</w:t>
            </w:r>
            <w:proofErr w:type="spellStart"/>
            <w:r w:rsidRPr="0039555E">
              <w:rPr>
                <w:sz w:val="20"/>
                <w:szCs w:val="20"/>
              </w:rPr>
              <w:t>dL</w:t>
            </w:r>
            <w:proofErr w:type="spellEnd"/>
            <w:r w:rsidRPr="0039555E">
              <w:rPr>
                <w:sz w:val="20"/>
                <w:szCs w:val="20"/>
              </w:rPr>
              <w:t xml:space="preserve"> lub ≥ 5,6 </w:t>
            </w:r>
            <w:proofErr w:type="spellStart"/>
            <w:r w:rsidRPr="0039555E">
              <w:rPr>
                <w:sz w:val="20"/>
                <w:szCs w:val="20"/>
              </w:rPr>
              <w:t>mmol</w:t>
            </w:r>
            <w:proofErr w:type="spellEnd"/>
            <w:r w:rsidRPr="0039555E">
              <w:rPr>
                <w:sz w:val="20"/>
                <w:szCs w:val="20"/>
              </w:rPr>
              <w:t>/L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stężenie kreatyniny  w surowicy ≤ 1,5 x GGN 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aktywność AST/ALT ≤  2,5 x GGN stężenie bilirubiny całkowitej  ≤ 1,5 x GGN lub bilirubiny bezpośredniej  ≤  GGN u pacjentów z poziomem bilirubiny całkowitej  &gt; 1,5 GGN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brak przeciwwskazań do stosowania leku określonych w aktualnej Charakterystyce Produktu Leczniczego;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1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wykluczenie ciąży lub karmienia piersią u pacjentek.</w:t>
            </w:r>
          </w:p>
          <w:p w:rsidR="00341CDB" w:rsidRPr="0039555E" w:rsidRDefault="00341CDB" w:rsidP="00623E60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Kryteria kwalifikacji musza być spełnione łącznie.</w:t>
            </w:r>
          </w:p>
          <w:p w:rsidR="00341CDB" w:rsidRPr="0039555E" w:rsidRDefault="00341CDB" w:rsidP="00623E60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2. Określenie czasu leczenia w programie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Leczenie trwa do czasu podjęcia przez lekarza prowadzącego decyzji o wyłączeniu świadczeniobiorcy z programu zgodnie z kryteriami wyłączenia.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3. Kryteria wyłączenia z programu: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progresja choroby;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nadwrażliwość na lek lub na substancję pomocniczą;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wystąpienie epizodu ciężkiej toksyczność niezwiązanej z lekiem;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brak możliwości zmniejszenia dawek kortykosterydów stosowanych z powodu leczenia działań niepożądanych do dawki  ≤ 10 mg </w:t>
            </w:r>
            <w:proofErr w:type="spellStart"/>
            <w:r w:rsidRPr="0039555E">
              <w:rPr>
                <w:sz w:val="20"/>
                <w:szCs w:val="20"/>
              </w:rPr>
              <w:t>prednizonu</w:t>
            </w:r>
            <w:proofErr w:type="spellEnd"/>
            <w:r w:rsidRPr="0039555E">
              <w:rPr>
                <w:sz w:val="20"/>
                <w:szCs w:val="20"/>
              </w:rPr>
              <w:t xml:space="preserve"> na dobę lub dawki równoważnej w ciągu 12 tygodni;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istotne pogorszenie jakości życia według oceny lekarza lub pacjenta;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objawy toksyczności związane z leczeniem nie ulegają poprawie do stopnia 0-1 w ciągu 12 tygodni od podania</w:t>
            </w:r>
            <w:r w:rsidR="00CE115A" w:rsidRPr="0039555E">
              <w:rPr>
                <w:sz w:val="20"/>
                <w:szCs w:val="20"/>
              </w:rPr>
              <w:t xml:space="preserve"> ostatniej dawki </w:t>
            </w:r>
            <w:proofErr w:type="spellStart"/>
            <w:r w:rsidR="00CE115A" w:rsidRPr="0039555E">
              <w:rPr>
                <w:sz w:val="20"/>
                <w:szCs w:val="20"/>
              </w:rPr>
              <w:t>pembrolizumabu</w:t>
            </w:r>
            <w:proofErr w:type="spellEnd"/>
            <w:r w:rsidR="00CE115A" w:rsidRPr="0039555E">
              <w:rPr>
                <w:sz w:val="20"/>
                <w:szCs w:val="20"/>
              </w:rPr>
              <w:t xml:space="preserve"> lub </w:t>
            </w:r>
            <w:proofErr w:type="spellStart"/>
            <w:r w:rsidR="00CE115A" w:rsidRPr="0039555E">
              <w:rPr>
                <w:sz w:val="20"/>
                <w:szCs w:val="20"/>
              </w:rPr>
              <w:t>niwolumabu</w:t>
            </w:r>
            <w:proofErr w:type="spellEnd"/>
            <w:r w:rsidR="00CE115A" w:rsidRPr="0039555E">
              <w:rPr>
                <w:sz w:val="20"/>
                <w:szCs w:val="20"/>
              </w:rPr>
              <w:t>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wystąpienie toksyczności zagrażającej życiu ( w stopniu 4) z wyjątkiem </w:t>
            </w:r>
            <w:proofErr w:type="spellStart"/>
            <w:r w:rsidRPr="0039555E">
              <w:rPr>
                <w:sz w:val="20"/>
                <w:szCs w:val="20"/>
              </w:rPr>
              <w:t>endokrynopatii</w:t>
            </w:r>
            <w:proofErr w:type="spellEnd"/>
            <w:r w:rsidRPr="0039555E">
              <w:rPr>
                <w:sz w:val="20"/>
                <w:szCs w:val="20"/>
              </w:rPr>
              <w:t xml:space="preserve">   kontrolowanych suplementacją hormonalną;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wystąpienie toksyczności pochodzenia immunologicznego takich jak: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płuc stopnia 3 lub 4 lub nawracające stopnia 2,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jelita grubego stopnia 4,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nerek stopnia 3 lub 4 ze stężeniami kreatyniny 3 razy powyżej GGN,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zapalenie wątroby stopnia 3 lub 4 związane ze:</w:t>
            </w:r>
          </w:p>
          <w:p w:rsidR="00341CDB" w:rsidRPr="0039555E" w:rsidRDefault="00341CDB" w:rsidP="00493608">
            <w:pPr>
              <w:pStyle w:val="Akapitzlist"/>
              <w:numPr>
                <w:ilvl w:val="2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wzrostem ALT lub AST 5 razy powyżej GGN lub stężenia bilirubiny całkowitej 3 razy powyżej GGN, </w:t>
            </w:r>
          </w:p>
          <w:p w:rsidR="00341CDB" w:rsidRPr="0039555E" w:rsidRDefault="00341CDB" w:rsidP="00493608">
            <w:pPr>
              <w:pStyle w:val="Akapitzlist"/>
              <w:numPr>
                <w:ilvl w:val="2"/>
                <w:numId w:val="20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u pacjentów z przerzutami do wątroby , którzy rozpoczynają leczenie z umiarkowanym wzrostem ( stopień 2) AST lub ALT jeżeli AST lub ALT rośnie 50% powyżej w stosunku do wartości wyjściowych i trwa 1 tydzień lub dłużej;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wystąpienie po raz drugi epizodu toksyczności stopnia 3 lub 4;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 kobiety w wieku rozrodczym, które nie chcą lub nie są w stanie stosować dopuszczalnej metody antykoncepcji w celu uniknięcia ciąży przez cały okres leczenia oraz przez 4 miesiące po jego zakończeniu;</w:t>
            </w:r>
          </w:p>
          <w:p w:rsidR="00341CDB" w:rsidRPr="0039555E" w:rsidRDefault="00341CDB" w:rsidP="00623E60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kobiety w ciąży lub karmiące piersią.</w:t>
            </w:r>
          </w:p>
        </w:tc>
        <w:tc>
          <w:tcPr>
            <w:tcW w:w="1407" w:type="pct"/>
            <w:shd w:val="clear" w:color="auto" w:fill="auto"/>
          </w:tcPr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Dawkowanie: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Dawkowanie oraz kryteria i sposób modyfikacji dawkowania (w tym okresowe wstrzymanie leczenia)  prowadzone jest zgodnie z  Charakterystyką Produktu Leczniczego.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39555E">
              <w:rPr>
                <w:sz w:val="20"/>
                <w:szCs w:val="20"/>
              </w:rPr>
              <w:t>Niwolumab</w:t>
            </w:r>
            <w:proofErr w:type="spellEnd"/>
            <w:r w:rsidRPr="0039555E">
              <w:rPr>
                <w:sz w:val="20"/>
                <w:szCs w:val="20"/>
              </w:rPr>
              <w:t xml:space="preserve"> lub </w:t>
            </w:r>
            <w:proofErr w:type="spellStart"/>
            <w:r w:rsidRPr="0039555E">
              <w:rPr>
                <w:sz w:val="20"/>
                <w:szCs w:val="20"/>
              </w:rPr>
              <w:t>pembrolizumab</w:t>
            </w:r>
            <w:proofErr w:type="spellEnd"/>
            <w:r w:rsidRPr="0039555E">
              <w:rPr>
                <w:sz w:val="20"/>
                <w:szCs w:val="20"/>
              </w:rPr>
              <w:t xml:space="preserve"> nie może być stosowany łącznie z: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innym przeciwciałem monoklonalnym;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BRAF;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inhibitorem kinazy MEK.</w:t>
            </w:r>
          </w:p>
          <w:p w:rsidR="00341CDB" w:rsidRPr="0039555E" w:rsidRDefault="00341CDB" w:rsidP="00623E60">
            <w:pPr>
              <w:spacing w:line="276" w:lineRule="auto"/>
              <w:rPr>
                <w:b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788" w:type="pct"/>
            <w:shd w:val="clear" w:color="auto" w:fill="auto"/>
          </w:tcPr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1. Badania przy kwalifikacji: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histologiczne potwierdzenie czerniaka;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diagnostyka obrazowa umożliwiające ocenę odpowiedzi na leczenie według aktualnych kryteriów RECIST: TK lub MRI (USG w wybranych przypadkach – zmiany w tkance podskórnej lub skórze);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pomiar masy ciała;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pełne badanie przedmiotowe;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sprawności w skali ECOG;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obecności mutacji BRAF V600;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test ciążowy u kobiet w wieku rozrodczym;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elektrokardiogram  (EKG);</w:t>
            </w:r>
          </w:p>
          <w:p w:rsidR="00341CDB" w:rsidRPr="0039555E" w:rsidRDefault="00341CDB" w:rsidP="00767217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badania laboratoryjne: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3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pełna morfologia z rozmazem oraz liczbą płytek,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3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 aminotransferazy (ALT lub AST), bilirubina całkowita (bezpośrednia w przypadku stężenia bilirubiny całkowitej &gt; 1,5 GGN), kreatynina, glukoza, dehydrogenaza mleczanowa (LDH), elektrolity (w tym stężenie sodu, potasu, wapnia), TSH i wolna T4,</w:t>
            </w:r>
          </w:p>
          <w:p w:rsidR="00341CDB" w:rsidRPr="0039555E" w:rsidRDefault="00341CDB" w:rsidP="00767217">
            <w:pPr>
              <w:pStyle w:val="Akapitzlist"/>
              <w:numPr>
                <w:ilvl w:val="1"/>
                <w:numId w:val="13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</w:t>
            </w:r>
          </w:p>
          <w:p w:rsidR="00341CDB" w:rsidRPr="0039555E" w:rsidRDefault="00341CDB" w:rsidP="00623E60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 xml:space="preserve">2. </w:t>
            </w:r>
            <w:r w:rsidRPr="0039555E">
              <w:rPr>
                <w:b/>
                <w:sz w:val="20"/>
                <w:szCs w:val="20"/>
              </w:rPr>
              <w:t>Antykoncepcyjne przeciwdziałanie u kobiet</w:t>
            </w:r>
            <w:r w:rsidRPr="0039555E">
              <w:rPr>
                <w:sz w:val="20"/>
                <w:szCs w:val="20"/>
              </w:rPr>
              <w:t xml:space="preserve"> w wieku rozrodczym przez cały okres stosowania leczenia oraz 4 miesiące po podaniu ostatniej dawki </w:t>
            </w:r>
            <w:proofErr w:type="spellStart"/>
            <w:r w:rsidRPr="0039555E">
              <w:rPr>
                <w:sz w:val="20"/>
                <w:szCs w:val="20"/>
              </w:rPr>
              <w:t>niwolumabu</w:t>
            </w:r>
            <w:proofErr w:type="spellEnd"/>
            <w:r w:rsidRPr="0039555E">
              <w:rPr>
                <w:sz w:val="20"/>
                <w:szCs w:val="20"/>
              </w:rPr>
              <w:t xml:space="preserve"> lub </w:t>
            </w:r>
            <w:proofErr w:type="spellStart"/>
            <w:r w:rsidRPr="0039555E">
              <w:rPr>
                <w:sz w:val="20"/>
                <w:szCs w:val="20"/>
              </w:rPr>
              <w:t>pembrolizumabu</w:t>
            </w:r>
            <w:proofErr w:type="spellEnd"/>
            <w:r w:rsidRPr="0039555E">
              <w:rPr>
                <w:sz w:val="20"/>
                <w:szCs w:val="20"/>
              </w:rPr>
              <w:t>.</w:t>
            </w: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39555E">
              <w:rPr>
                <w:b/>
                <w:bCs/>
                <w:sz w:val="20"/>
                <w:szCs w:val="20"/>
              </w:rPr>
              <w:t>3. Monitorowanie leczenia:</w:t>
            </w:r>
          </w:p>
          <w:p w:rsidR="00664378" w:rsidRPr="0039555E" w:rsidRDefault="00664378" w:rsidP="00664378">
            <w:pPr>
              <w:pStyle w:val="Akapitzlist"/>
              <w:numPr>
                <w:ilvl w:val="0"/>
                <w:numId w:val="15"/>
              </w:numPr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diagnostyka obrazowa umożliwiające ocenę odpowiedzi na leczenie według aktualnych kryteriów RECIST: TK lub MRI (USG w wybranych przypadkach – zmiany w tkance podskórnej lub skórze) </w:t>
            </w:r>
          </w:p>
          <w:p w:rsidR="00664378" w:rsidRPr="0039555E" w:rsidRDefault="00141D77" w:rsidP="00664378">
            <w:pPr>
              <w:pStyle w:val="Akapitzlist"/>
              <w:numPr>
                <w:ilvl w:val="1"/>
                <w:numId w:val="15"/>
              </w:numPr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dla </w:t>
            </w:r>
            <w:proofErr w:type="spellStart"/>
            <w:r w:rsidRPr="0039555E">
              <w:rPr>
                <w:sz w:val="20"/>
                <w:szCs w:val="20"/>
              </w:rPr>
              <w:t>niwolumabu</w:t>
            </w:r>
            <w:proofErr w:type="spellEnd"/>
            <w:r w:rsidRPr="0039555E">
              <w:rPr>
                <w:sz w:val="20"/>
                <w:szCs w:val="20"/>
              </w:rPr>
              <w:t xml:space="preserve"> - </w:t>
            </w:r>
            <w:r w:rsidR="00664378" w:rsidRPr="0039555E">
              <w:rPr>
                <w:sz w:val="20"/>
                <w:szCs w:val="20"/>
              </w:rPr>
              <w:t>po 12 tygodniach leczenia, a następnie co 3 miesiące lub przy klinicznym podejrzeniu progresji;</w:t>
            </w:r>
          </w:p>
          <w:p w:rsidR="00141D77" w:rsidRPr="0039555E" w:rsidRDefault="00664378" w:rsidP="00141D77">
            <w:pPr>
              <w:pStyle w:val="Akapitzlist"/>
              <w:numPr>
                <w:ilvl w:val="1"/>
                <w:numId w:val="15"/>
              </w:numPr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dla </w:t>
            </w:r>
            <w:proofErr w:type="spellStart"/>
            <w:r w:rsidRPr="0039555E">
              <w:rPr>
                <w:sz w:val="20"/>
                <w:szCs w:val="20"/>
              </w:rPr>
              <w:t>pembrolizumabu</w:t>
            </w:r>
            <w:proofErr w:type="spellEnd"/>
            <w:r w:rsidRPr="0039555E">
              <w:rPr>
                <w:sz w:val="20"/>
                <w:szCs w:val="20"/>
              </w:rPr>
              <w:t xml:space="preserve"> - przed upływem 12 tygodnia leczenia</w:t>
            </w:r>
            <w:r w:rsidR="00141D77" w:rsidRPr="0039555E">
              <w:rPr>
                <w:sz w:val="20"/>
                <w:szCs w:val="20"/>
              </w:rPr>
              <w:t xml:space="preserve">, </w:t>
            </w:r>
            <w:r w:rsidRPr="0039555E">
              <w:rPr>
                <w:sz w:val="20"/>
                <w:szCs w:val="20"/>
              </w:rPr>
              <w:t>następnie co 3 miesiące lub przy klinicznym podejrzeniu progresji;</w:t>
            </w:r>
          </w:p>
          <w:p w:rsidR="00141D77" w:rsidRPr="0039555E" w:rsidRDefault="00141D77" w:rsidP="00141D77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badania laboratoryjne dla </w:t>
            </w:r>
            <w:proofErr w:type="spellStart"/>
            <w:r w:rsidRPr="0039555E">
              <w:rPr>
                <w:sz w:val="20"/>
                <w:szCs w:val="20"/>
              </w:rPr>
              <w:t>pembrolizumabu</w:t>
            </w:r>
            <w:proofErr w:type="spellEnd"/>
            <w:r w:rsidRPr="0039555E">
              <w:rPr>
                <w:sz w:val="20"/>
                <w:szCs w:val="20"/>
              </w:rPr>
              <w:t xml:space="preserve"> co 6 – 12 tygodni: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pełna morfologia z rozmazem oraz liczbą płytek,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</w:t>
            </w:r>
            <w:r w:rsidRPr="0039555E">
              <w:rPr>
                <w:sz w:val="20"/>
                <w:szCs w:val="20"/>
                <w:u w:val="single"/>
              </w:rPr>
              <w:t xml:space="preserve"> </w:t>
            </w:r>
            <w:r w:rsidRPr="0039555E">
              <w:rPr>
                <w:sz w:val="20"/>
                <w:szCs w:val="20"/>
              </w:rPr>
              <w:t>aminotransferazy (ALT lub AST), bilirubina całkowita (bezpośrednia w przypadku stężenia bilirubiny całkowitej &gt; 1,5 GGN), kreatynina, glukoza, dehydrogenaza mleczanowa (LDH), elektrolity (w tym stężenie sodu, potasu, wapnia), TSH i wolna T4,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498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moczu..</w:t>
            </w:r>
          </w:p>
          <w:p w:rsidR="00141D77" w:rsidRPr="0039555E" w:rsidRDefault="00141D77" w:rsidP="00141D77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 xml:space="preserve">badania laboratoryjne dla </w:t>
            </w:r>
            <w:proofErr w:type="spellStart"/>
            <w:r w:rsidRPr="0039555E">
              <w:rPr>
                <w:sz w:val="20"/>
                <w:szCs w:val="20"/>
              </w:rPr>
              <w:t>niwolumabu</w:t>
            </w:r>
            <w:proofErr w:type="spellEnd"/>
            <w:r w:rsidRPr="0039555E">
              <w:rPr>
                <w:sz w:val="20"/>
                <w:szCs w:val="20"/>
              </w:rPr>
              <w:t xml:space="preserve"> co 6 tygodni: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pełna morfologia z rozmazem oraz liczbą płytek,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parametry biochemiczne surowicy: aminotransferazy (ALT lub AST), bilirubina całkowita (bezpośrednia w przypadku stężenia bilirubiny całkowitej &gt; 1,5 GGN), kreatynina, glukoza, dehydrogenaza mleczanowa (LDH), elektrolity (w tym stężenie sodu, potasu, wapnia), TSH i wolna T4,</w:t>
            </w:r>
          </w:p>
          <w:p w:rsidR="00141D77" w:rsidRPr="0039555E" w:rsidRDefault="00141D77" w:rsidP="00141D77">
            <w:pPr>
              <w:pStyle w:val="Akapitzlist"/>
              <w:numPr>
                <w:ilvl w:val="1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badanie ogólne moczu..</w:t>
            </w:r>
          </w:p>
          <w:p w:rsidR="00141D77" w:rsidRPr="0039555E" w:rsidRDefault="00141D77" w:rsidP="00141D77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200"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Ocena działań niepożądanych.</w:t>
            </w:r>
          </w:p>
          <w:p w:rsidR="00141D77" w:rsidRPr="0039555E" w:rsidRDefault="00141D77" w:rsidP="00141D77">
            <w:pPr>
              <w:spacing w:after="200" w:line="276" w:lineRule="auto"/>
              <w:rPr>
                <w:sz w:val="20"/>
                <w:szCs w:val="20"/>
              </w:rPr>
            </w:pPr>
          </w:p>
          <w:p w:rsidR="00141D77" w:rsidRPr="0039555E" w:rsidRDefault="00141D77" w:rsidP="00623E6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41CDB" w:rsidRPr="0039555E" w:rsidRDefault="00341CDB" w:rsidP="00623E60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39555E">
              <w:rPr>
                <w:b/>
                <w:sz w:val="20"/>
                <w:szCs w:val="20"/>
              </w:rPr>
              <w:t>4. Monitorowanie programu</w:t>
            </w:r>
          </w:p>
          <w:p w:rsidR="00341CDB" w:rsidRPr="0039555E" w:rsidRDefault="00341CDB" w:rsidP="00767217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493608" w:rsidRPr="0039555E" w:rsidRDefault="00341CDB" w:rsidP="00623E6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341CDB" w:rsidRPr="0039555E" w:rsidRDefault="00341CDB" w:rsidP="00623E60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555E">
              <w:rPr>
                <w:sz w:val="20"/>
                <w:szCs w:val="20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</w:tc>
      </w:tr>
    </w:tbl>
    <w:p w:rsidR="00802627" w:rsidRPr="00623E60" w:rsidRDefault="00341CDB" w:rsidP="00623E60">
      <w:pPr>
        <w:widowControl w:val="0"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 w:rsidRPr="00623E60">
        <w:rPr>
          <w:sz w:val="22"/>
          <w:szCs w:val="22"/>
        </w:rPr>
        <w:br/>
      </w:r>
    </w:p>
    <w:sectPr w:rsidR="00802627" w:rsidRPr="00623E60" w:rsidSect="0039555E">
      <w:footerReference w:type="even" r:id="rId8"/>
      <w:footerReference w:type="default" r:id="rId9"/>
      <w:pgSz w:w="16838" w:h="11906" w:orient="landscape"/>
      <w:pgMar w:top="1588" w:right="720" w:bottom="1418" w:left="720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58F" w:rsidRDefault="0092758F">
      <w:r>
        <w:separator/>
      </w:r>
    </w:p>
  </w:endnote>
  <w:endnote w:type="continuationSeparator" w:id="0">
    <w:p w:rsidR="0092758F" w:rsidRDefault="0092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A9" w:rsidRDefault="00D70168" w:rsidP="009A79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F26A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F26A9" w:rsidRDefault="007F26A9" w:rsidP="009A79C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6A9" w:rsidRDefault="007F26A9" w:rsidP="009A79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58F" w:rsidRDefault="0092758F">
      <w:r>
        <w:separator/>
      </w:r>
    </w:p>
  </w:footnote>
  <w:footnote w:type="continuationSeparator" w:id="0">
    <w:p w:rsidR="0092758F" w:rsidRDefault="00927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1F04"/>
    <w:multiLevelType w:val="hybridMultilevel"/>
    <w:tmpl w:val="163C824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D8A207B"/>
    <w:multiLevelType w:val="hybridMultilevel"/>
    <w:tmpl w:val="B1E65D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0856B9"/>
    <w:multiLevelType w:val="hybridMultilevel"/>
    <w:tmpl w:val="78DC08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6364FA"/>
    <w:multiLevelType w:val="hybridMultilevel"/>
    <w:tmpl w:val="2B0826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D903D4"/>
    <w:multiLevelType w:val="multilevel"/>
    <w:tmpl w:val="27A6599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E2A4D23"/>
    <w:multiLevelType w:val="hybridMultilevel"/>
    <w:tmpl w:val="F2F2D8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FA20E48"/>
    <w:multiLevelType w:val="hybridMultilevel"/>
    <w:tmpl w:val="17F21C3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1C45DC7"/>
    <w:multiLevelType w:val="hybridMultilevel"/>
    <w:tmpl w:val="7CAC54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E6650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9C2C93"/>
    <w:multiLevelType w:val="hybridMultilevel"/>
    <w:tmpl w:val="4AB0988A"/>
    <w:lvl w:ilvl="0" w:tplc="04150011">
      <w:start w:val="1"/>
      <w:numFmt w:val="decimal"/>
      <w:lvlText w:val="%1)"/>
      <w:lvlJc w:val="left"/>
      <w:pPr>
        <w:tabs>
          <w:tab w:val="num" w:pos="267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872"/>
        </w:tabs>
        <w:ind w:left="872" w:hanging="360"/>
      </w:pPr>
      <w:rPr>
        <w:rFonts w:hint="default"/>
      </w:rPr>
    </w:lvl>
    <w:lvl w:ilvl="2" w:tplc="96441300">
      <w:numFmt w:val="bullet"/>
      <w:lvlText w:val=""/>
      <w:lvlJc w:val="left"/>
      <w:pPr>
        <w:ind w:left="1592" w:hanging="360"/>
      </w:pPr>
      <w:rPr>
        <w:rFonts w:ascii="Times New Roman" w:eastAsia="SymbolMT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2"/>
        </w:tabs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2"/>
        </w:tabs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2"/>
        </w:tabs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2"/>
        </w:tabs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2"/>
        </w:tabs>
        <w:ind w:left="5912" w:hanging="360"/>
      </w:pPr>
      <w:rPr>
        <w:rFonts w:ascii="Wingdings" w:hAnsi="Wingdings" w:hint="default"/>
      </w:rPr>
    </w:lvl>
  </w:abstractNum>
  <w:abstractNum w:abstractNumId="9">
    <w:nsid w:val="38537AA6"/>
    <w:multiLevelType w:val="hybridMultilevel"/>
    <w:tmpl w:val="A10E3FB6"/>
    <w:lvl w:ilvl="0" w:tplc="BC4C6A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ADD628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0A70660"/>
    <w:multiLevelType w:val="hybridMultilevel"/>
    <w:tmpl w:val="8B7EFD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E77EBC"/>
    <w:multiLevelType w:val="hybridMultilevel"/>
    <w:tmpl w:val="828A6466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3316465"/>
    <w:multiLevelType w:val="hybridMultilevel"/>
    <w:tmpl w:val="272C2D74"/>
    <w:lvl w:ilvl="0" w:tplc="04150011">
      <w:start w:val="1"/>
      <w:numFmt w:val="decimal"/>
      <w:lvlText w:val="%1)"/>
      <w:lvlJc w:val="left"/>
      <w:pPr>
        <w:tabs>
          <w:tab w:val="num" w:pos="56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53180B2E"/>
    <w:multiLevelType w:val="hybridMultilevel"/>
    <w:tmpl w:val="4CC223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83AC3"/>
    <w:multiLevelType w:val="hybridMultilevel"/>
    <w:tmpl w:val="1674E8E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0C01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80D3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6A34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30D2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4B5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E298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887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20670C"/>
    <w:multiLevelType w:val="hybridMultilevel"/>
    <w:tmpl w:val="20A4BF22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E964060"/>
    <w:multiLevelType w:val="hybridMultilevel"/>
    <w:tmpl w:val="E32A67C6"/>
    <w:lvl w:ilvl="0" w:tplc="A292463C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773BBC"/>
    <w:multiLevelType w:val="multilevel"/>
    <w:tmpl w:val="9A4E46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7F937C04"/>
    <w:multiLevelType w:val="hybridMultilevel"/>
    <w:tmpl w:val="5A2A5F30"/>
    <w:lvl w:ilvl="0" w:tplc="0415001B">
      <w:start w:val="1"/>
      <w:numFmt w:val="lowerRoman"/>
      <w:lvlText w:val="%1."/>
      <w:lvlJc w:val="righ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7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11"/>
  </w:num>
  <w:num w:numId="13">
    <w:abstractNumId w:val="3"/>
  </w:num>
  <w:num w:numId="14">
    <w:abstractNumId w:val="7"/>
  </w:num>
  <w:num w:numId="15">
    <w:abstractNumId w:val="16"/>
  </w:num>
  <w:num w:numId="16">
    <w:abstractNumId w:val="9"/>
  </w:num>
  <w:num w:numId="17">
    <w:abstractNumId w:val="1"/>
  </w:num>
  <w:num w:numId="18">
    <w:abstractNumId w:val="0"/>
  </w:num>
  <w:num w:numId="19">
    <w:abstractNumId w:val="20"/>
  </w:num>
  <w:num w:numId="20">
    <w:abstractNumId w:val="19"/>
  </w:num>
  <w:num w:numId="21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95"/>
    <w:rsid w:val="00013947"/>
    <w:rsid w:val="0001456F"/>
    <w:rsid w:val="000148D7"/>
    <w:rsid w:val="00020CF7"/>
    <w:rsid w:val="00026C81"/>
    <w:rsid w:val="00033A92"/>
    <w:rsid w:val="00033E6B"/>
    <w:rsid w:val="00035A8A"/>
    <w:rsid w:val="00044C33"/>
    <w:rsid w:val="000479C1"/>
    <w:rsid w:val="0005148A"/>
    <w:rsid w:val="000520DC"/>
    <w:rsid w:val="000521D2"/>
    <w:rsid w:val="0006279D"/>
    <w:rsid w:val="000633DC"/>
    <w:rsid w:val="000707A4"/>
    <w:rsid w:val="000738C4"/>
    <w:rsid w:val="00082B31"/>
    <w:rsid w:val="00084075"/>
    <w:rsid w:val="0008519C"/>
    <w:rsid w:val="000853C4"/>
    <w:rsid w:val="00087235"/>
    <w:rsid w:val="00090068"/>
    <w:rsid w:val="00092005"/>
    <w:rsid w:val="00095E1B"/>
    <w:rsid w:val="00097762"/>
    <w:rsid w:val="00097EC2"/>
    <w:rsid w:val="000C395A"/>
    <w:rsid w:val="000D5408"/>
    <w:rsid w:val="000E5925"/>
    <w:rsid w:val="000E6979"/>
    <w:rsid w:val="000F03C4"/>
    <w:rsid w:val="000F2DEC"/>
    <w:rsid w:val="000F6224"/>
    <w:rsid w:val="000F727D"/>
    <w:rsid w:val="00100313"/>
    <w:rsid w:val="0010465A"/>
    <w:rsid w:val="0010495C"/>
    <w:rsid w:val="00105215"/>
    <w:rsid w:val="00111BF2"/>
    <w:rsid w:val="00127A96"/>
    <w:rsid w:val="00141C61"/>
    <w:rsid w:val="00141D77"/>
    <w:rsid w:val="00141F57"/>
    <w:rsid w:val="00146D87"/>
    <w:rsid w:val="001517C6"/>
    <w:rsid w:val="00155C37"/>
    <w:rsid w:val="00161018"/>
    <w:rsid w:val="00161CE0"/>
    <w:rsid w:val="00162266"/>
    <w:rsid w:val="0016458E"/>
    <w:rsid w:val="00165E72"/>
    <w:rsid w:val="00174BC5"/>
    <w:rsid w:val="0017591E"/>
    <w:rsid w:val="00176AB7"/>
    <w:rsid w:val="00176C3E"/>
    <w:rsid w:val="00186A1A"/>
    <w:rsid w:val="00193757"/>
    <w:rsid w:val="001A0AF2"/>
    <w:rsid w:val="001A403E"/>
    <w:rsid w:val="001A71EE"/>
    <w:rsid w:val="001B0DE9"/>
    <w:rsid w:val="001B54D3"/>
    <w:rsid w:val="001B78D4"/>
    <w:rsid w:val="001C609A"/>
    <w:rsid w:val="001D0B6E"/>
    <w:rsid w:val="001E18A0"/>
    <w:rsid w:val="001E3736"/>
    <w:rsid w:val="001E45E1"/>
    <w:rsid w:val="001E5492"/>
    <w:rsid w:val="001F640F"/>
    <w:rsid w:val="00204AEC"/>
    <w:rsid w:val="00210030"/>
    <w:rsid w:val="0021259D"/>
    <w:rsid w:val="002173DB"/>
    <w:rsid w:val="002241F5"/>
    <w:rsid w:val="002268F2"/>
    <w:rsid w:val="002321E3"/>
    <w:rsid w:val="00232A05"/>
    <w:rsid w:val="00245EA5"/>
    <w:rsid w:val="002540DB"/>
    <w:rsid w:val="00254709"/>
    <w:rsid w:val="00257DAB"/>
    <w:rsid w:val="002600CA"/>
    <w:rsid w:val="00260E34"/>
    <w:rsid w:val="0026229B"/>
    <w:rsid w:val="00262D22"/>
    <w:rsid w:val="00266C79"/>
    <w:rsid w:val="00266F14"/>
    <w:rsid w:val="00267F28"/>
    <w:rsid w:val="00277FE0"/>
    <w:rsid w:val="00281382"/>
    <w:rsid w:val="00281DAB"/>
    <w:rsid w:val="002826A4"/>
    <w:rsid w:val="002829B1"/>
    <w:rsid w:val="00284124"/>
    <w:rsid w:val="002842A0"/>
    <w:rsid w:val="00284DBD"/>
    <w:rsid w:val="00290B2A"/>
    <w:rsid w:val="0029347D"/>
    <w:rsid w:val="00294244"/>
    <w:rsid w:val="002A52D9"/>
    <w:rsid w:val="002A7185"/>
    <w:rsid w:val="002B33A2"/>
    <w:rsid w:val="002B57B7"/>
    <w:rsid w:val="002B64C2"/>
    <w:rsid w:val="002C1A28"/>
    <w:rsid w:val="002C6DDD"/>
    <w:rsid w:val="002D2629"/>
    <w:rsid w:val="002D353C"/>
    <w:rsid w:val="002D4054"/>
    <w:rsid w:val="002D58F3"/>
    <w:rsid w:val="002E201C"/>
    <w:rsid w:val="002E2D43"/>
    <w:rsid w:val="002E35A3"/>
    <w:rsid w:val="002E6064"/>
    <w:rsid w:val="002F756A"/>
    <w:rsid w:val="003071A4"/>
    <w:rsid w:val="003128E8"/>
    <w:rsid w:val="00313384"/>
    <w:rsid w:val="00314796"/>
    <w:rsid w:val="003276C9"/>
    <w:rsid w:val="00330767"/>
    <w:rsid w:val="003368B6"/>
    <w:rsid w:val="00341CDB"/>
    <w:rsid w:val="003422FF"/>
    <w:rsid w:val="00343F91"/>
    <w:rsid w:val="00344C43"/>
    <w:rsid w:val="00344D20"/>
    <w:rsid w:val="0034754E"/>
    <w:rsid w:val="00350F58"/>
    <w:rsid w:val="003555A9"/>
    <w:rsid w:val="00357EAE"/>
    <w:rsid w:val="0036041E"/>
    <w:rsid w:val="00360A41"/>
    <w:rsid w:val="00362D73"/>
    <w:rsid w:val="00365694"/>
    <w:rsid w:val="003678EF"/>
    <w:rsid w:val="003706C6"/>
    <w:rsid w:val="00372BCE"/>
    <w:rsid w:val="00372EBC"/>
    <w:rsid w:val="003741F7"/>
    <w:rsid w:val="00374C09"/>
    <w:rsid w:val="00374FF4"/>
    <w:rsid w:val="00380D6E"/>
    <w:rsid w:val="00383A5B"/>
    <w:rsid w:val="00384769"/>
    <w:rsid w:val="00385059"/>
    <w:rsid w:val="003854F3"/>
    <w:rsid w:val="00392828"/>
    <w:rsid w:val="00392C24"/>
    <w:rsid w:val="0039522C"/>
    <w:rsid w:val="0039555E"/>
    <w:rsid w:val="00395DD2"/>
    <w:rsid w:val="003A2F39"/>
    <w:rsid w:val="003B0004"/>
    <w:rsid w:val="003B255A"/>
    <w:rsid w:val="003B75F9"/>
    <w:rsid w:val="003C2E9E"/>
    <w:rsid w:val="003C67D1"/>
    <w:rsid w:val="003D73F4"/>
    <w:rsid w:val="003E0D0B"/>
    <w:rsid w:val="003F16F8"/>
    <w:rsid w:val="003F1E17"/>
    <w:rsid w:val="003F20B6"/>
    <w:rsid w:val="003F457C"/>
    <w:rsid w:val="003F4C0A"/>
    <w:rsid w:val="004029C5"/>
    <w:rsid w:val="00406A61"/>
    <w:rsid w:val="00410FD6"/>
    <w:rsid w:val="0041255B"/>
    <w:rsid w:val="004150BF"/>
    <w:rsid w:val="00416107"/>
    <w:rsid w:val="0042237B"/>
    <w:rsid w:val="00424547"/>
    <w:rsid w:val="004279AF"/>
    <w:rsid w:val="0043007E"/>
    <w:rsid w:val="00430B37"/>
    <w:rsid w:val="00435F33"/>
    <w:rsid w:val="004365D8"/>
    <w:rsid w:val="00437590"/>
    <w:rsid w:val="00446FAC"/>
    <w:rsid w:val="00462FAE"/>
    <w:rsid w:val="00464C33"/>
    <w:rsid w:val="00466CB4"/>
    <w:rsid w:val="004723AF"/>
    <w:rsid w:val="00475ACA"/>
    <w:rsid w:val="004776A7"/>
    <w:rsid w:val="00477AA5"/>
    <w:rsid w:val="004853DC"/>
    <w:rsid w:val="00491A08"/>
    <w:rsid w:val="00493608"/>
    <w:rsid w:val="0049460D"/>
    <w:rsid w:val="00496BAF"/>
    <w:rsid w:val="004A012E"/>
    <w:rsid w:val="004A2A84"/>
    <w:rsid w:val="004A4B91"/>
    <w:rsid w:val="004A71A6"/>
    <w:rsid w:val="004C0C5F"/>
    <w:rsid w:val="004C1CD0"/>
    <w:rsid w:val="004C386E"/>
    <w:rsid w:val="004D2586"/>
    <w:rsid w:val="004D380F"/>
    <w:rsid w:val="004E31B6"/>
    <w:rsid w:val="004E6BDC"/>
    <w:rsid w:val="004F0D2A"/>
    <w:rsid w:val="004F44A3"/>
    <w:rsid w:val="004F64E8"/>
    <w:rsid w:val="00506988"/>
    <w:rsid w:val="00510702"/>
    <w:rsid w:val="00512042"/>
    <w:rsid w:val="00526CBA"/>
    <w:rsid w:val="00530732"/>
    <w:rsid w:val="00530C92"/>
    <w:rsid w:val="0053298D"/>
    <w:rsid w:val="005337BC"/>
    <w:rsid w:val="005362CB"/>
    <w:rsid w:val="00536B60"/>
    <w:rsid w:val="005425DE"/>
    <w:rsid w:val="005474A7"/>
    <w:rsid w:val="005500BC"/>
    <w:rsid w:val="00554242"/>
    <w:rsid w:val="00555276"/>
    <w:rsid w:val="00557A2C"/>
    <w:rsid w:val="005649E0"/>
    <w:rsid w:val="00566E45"/>
    <w:rsid w:val="00567109"/>
    <w:rsid w:val="00580946"/>
    <w:rsid w:val="00581B39"/>
    <w:rsid w:val="005834A1"/>
    <w:rsid w:val="00590779"/>
    <w:rsid w:val="00595133"/>
    <w:rsid w:val="005965F9"/>
    <w:rsid w:val="005B3FBA"/>
    <w:rsid w:val="005B46D9"/>
    <w:rsid w:val="005B52AE"/>
    <w:rsid w:val="005B70A6"/>
    <w:rsid w:val="005C069B"/>
    <w:rsid w:val="005C259F"/>
    <w:rsid w:val="005D0181"/>
    <w:rsid w:val="005D07CF"/>
    <w:rsid w:val="005D0C46"/>
    <w:rsid w:val="005D216B"/>
    <w:rsid w:val="005E536E"/>
    <w:rsid w:val="005F057C"/>
    <w:rsid w:val="005F188E"/>
    <w:rsid w:val="005F3EFA"/>
    <w:rsid w:val="005F5DBA"/>
    <w:rsid w:val="005F6266"/>
    <w:rsid w:val="006137AD"/>
    <w:rsid w:val="00614CB1"/>
    <w:rsid w:val="00623E60"/>
    <w:rsid w:val="00652FA5"/>
    <w:rsid w:val="00655D6F"/>
    <w:rsid w:val="0065633D"/>
    <w:rsid w:val="00661665"/>
    <w:rsid w:val="00662446"/>
    <w:rsid w:val="00664244"/>
    <w:rsid w:val="00664378"/>
    <w:rsid w:val="006667E0"/>
    <w:rsid w:val="00670084"/>
    <w:rsid w:val="00672805"/>
    <w:rsid w:val="00674566"/>
    <w:rsid w:val="00675736"/>
    <w:rsid w:val="006758D6"/>
    <w:rsid w:val="00677C9A"/>
    <w:rsid w:val="006801A2"/>
    <w:rsid w:val="006826B5"/>
    <w:rsid w:val="00691C8B"/>
    <w:rsid w:val="00692A80"/>
    <w:rsid w:val="006953EC"/>
    <w:rsid w:val="006961DE"/>
    <w:rsid w:val="006A3AE4"/>
    <w:rsid w:val="006A7C83"/>
    <w:rsid w:val="006B427E"/>
    <w:rsid w:val="006B7323"/>
    <w:rsid w:val="006B79B1"/>
    <w:rsid w:val="006C06E9"/>
    <w:rsid w:val="006C3115"/>
    <w:rsid w:val="006C5042"/>
    <w:rsid w:val="006C67CE"/>
    <w:rsid w:val="006D0589"/>
    <w:rsid w:val="006D33E5"/>
    <w:rsid w:val="006D4BB9"/>
    <w:rsid w:val="006E0955"/>
    <w:rsid w:val="006E2C84"/>
    <w:rsid w:val="006E3DE8"/>
    <w:rsid w:val="006E451F"/>
    <w:rsid w:val="006E72D5"/>
    <w:rsid w:val="006F1CE1"/>
    <w:rsid w:val="007001BE"/>
    <w:rsid w:val="0070454F"/>
    <w:rsid w:val="00705138"/>
    <w:rsid w:val="007122E4"/>
    <w:rsid w:val="00723C1C"/>
    <w:rsid w:val="00724765"/>
    <w:rsid w:val="00726217"/>
    <w:rsid w:val="007311F2"/>
    <w:rsid w:val="00733DD2"/>
    <w:rsid w:val="007373DB"/>
    <w:rsid w:val="007416C8"/>
    <w:rsid w:val="00743990"/>
    <w:rsid w:val="00744A26"/>
    <w:rsid w:val="00753545"/>
    <w:rsid w:val="0076679D"/>
    <w:rsid w:val="00767217"/>
    <w:rsid w:val="00782240"/>
    <w:rsid w:val="00782314"/>
    <w:rsid w:val="007837D9"/>
    <w:rsid w:val="00786419"/>
    <w:rsid w:val="00791330"/>
    <w:rsid w:val="00794428"/>
    <w:rsid w:val="007A2F47"/>
    <w:rsid w:val="007A4E1D"/>
    <w:rsid w:val="007A76E2"/>
    <w:rsid w:val="007C272D"/>
    <w:rsid w:val="007C7EF2"/>
    <w:rsid w:val="007D4C42"/>
    <w:rsid w:val="007E6865"/>
    <w:rsid w:val="007F26A9"/>
    <w:rsid w:val="007F52D6"/>
    <w:rsid w:val="008018F9"/>
    <w:rsid w:val="00802627"/>
    <w:rsid w:val="0080451D"/>
    <w:rsid w:val="00807B11"/>
    <w:rsid w:val="00825AF0"/>
    <w:rsid w:val="00830B89"/>
    <w:rsid w:val="00831355"/>
    <w:rsid w:val="00837967"/>
    <w:rsid w:val="00851E2D"/>
    <w:rsid w:val="00855B0B"/>
    <w:rsid w:val="00855D8D"/>
    <w:rsid w:val="00861E71"/>
    <w:rsid w:val="00863079"/>
    <w:rsid w:val="008651BC"/>
    <w:rsid w:val="008672BF"/>
    <w:rsid w:val="00867D95"/>
    <w:rsid w:val="00873A26"/>
    <w:rsid w:val="0088066D"/>
    <w:rsid w:val="00883115"/>
    <w:rsid w:val="00885B93"/>
    <w:rsid w:val="00887907"/>
    <w:rsid w:val="00896BC0"/>
    <w:rsid w:val="008A039C"/>
    <w:rsid w:val="008A63CB"/>
    <w:rsid w:val="008B043E"/>
    <w:rsid w:val="008B30E1"/>
    <w:rsid w:val="008B53DF"/>
    <w:rsid w:val="008C36D9"/>
    <w:rsid w:val="008C4CD8"/>
    <w:rsid w:val="008C5F42"/>
    <w:rsid w:val="008C6A55"/>
    <w:rsid w:val="008D1499"/>
    <w:rsid w:val="008D2B09"/>
    <w:rsid w:val="008D4D9D"/>
    <w:rsid w:val="008D4F81"/>
    <w:rsid w:val="008D531C"/>
    <w:rsid w:val="008E0C24"/>
    <w:rsid w:val="008E34B3"/>
    <w:rsid w:val="008E632F"/>
    <w:rsid w:val="008F0A96"/>
    <w:rsid w:val="008F18A7"/>
    <w:rsid w:val="008F36BB"/>
    <w:rsid w:val="00913902"/>
    <w:rsid w:val="00917E54"/>
    <w:rsid w:val="00923AFC"/>
    <w:rsid w:val="00924319"/>
    <w:rsid w:val="009244F6"/>
    <w:rsid w:val="0092483F"/>
    <w:rsid w:val="00926C31"/>
    <w:rsid w:val="0092758F"/>
    <w:rsid w:val="009341CB"/>
    <w:rsid w:val="00934ECB"/>
    <w:rsid w:val="0093731C"/>
    <w:rsid w:val="00941FC2"/>
    <w:rsid w:val="00947D04"/>
    <w:rsid w:val="0095332E"/>
    <w:rsid w:val="009578CD"/>
    <w:rsid w:val="00971C1D"/>
    <w:rsid w:val="0097710A"/>
    <w:rsid w:val="009862F4"/>
    <w:rsid w:val="00992210"/>
    <w:rsid w:val="00994544"/>
    <w:rsid w:val="00995C14"/>
    <w:rsid w:val="009A2095"/>
    <w:rsid w:val="009A54F3"/>
    <w:rsid w:val="009A79C6"/>
    <w:rsid w:val="009B2430"/>
    <w:rsid w:val="009D2293"/>
    <w:rsid w:val="009D4321"/>
    <w:rsid w:val="009D571A"/>
    <w:rsid w:val="009D58E3"/>
    <w:rsid w:val="009D78AD"/>
    <w:rsid w:val="009E1084"/>
    <w:rsid w:val="009E3A7F"/>
    <w:rsid w:val="009F31EA"/>
    <w:rsid w:val="00A00DD9"/>
    <w:rsid w:val="00A01CCD"/>
    <w:rsid w:val="00A02754"/>
    <w:rsid w:val="00A0333E"/>
    <w:rsid w:val="00A060A8"/>
    <w:rsid w:val="00A06A91"/>
    <w:rsid w:val="00A07886"/>
    <w:rsid w:val="00A1355F"/>
    <w:rsid w:val="00A17897"/>
    <w:rsid w:val="00A223B7"/>
    <w:rsid w:val="00A27B43"/>
    <w:rsid w:val="00A3094E"/>
    <w:rsid w:val="00A32FE0"/>
    <w:rsid w:val="00A3455F"/>
    <w:rsid w:val="00A3691C"/>
    <w:rsid w:val="00A36B8E"/>
    <w:rsid w:val="00A40F1C"/>
    <w:rsid w:val="00A46A39"/>
    <w:rsid w:val="00A528B6"/>
    <w:rsid w:val="00A55286"/>
    <w:rsid w:val="00A55FB7"/>
    <w:rsid w:val="00A5710B"/>
    <w:rsid w:val="00A5747E"/>
    <w:rsid w:val="00A60500"/>
    <w:rsid w:val="00A63714"/>
    <w:rsid w:val="00A63BB3"/>
    <w:rsid w:val="00A65054"/>
    <w:rsid w:val="00A72DF8"/>
    <w:rsid w:val="00A763E8"/>
    <w:rsid w:val="00A8431F"/>
    <w:rsid w:val="00A86563"/>
    <w:rsid w:val="00A87FA9"/>
    <w:rsid w:val="00A94797"/>
    <w:rsid w:val="00A968D8"/>
    <w:rsid w:val="00A96946"/>
    <w:rsid w:val="00AA2B01"/>
    <w:rsid w:val="00AA5567"/>
    <w:rsid w:val="00AB10FF"/>
    <w:rsid w:val="00AB5E47"/>
    <w:rsid w:val="00AC3516"/>
    <w:rsid w:val="00AC7E5F"/>
    <w:rsid w:val="00AD5735"/>
    <w:rsid w:val="00AE12E6"/>
    <w:rsid w:val="00AE2F1C"/>
    <w:rsid w:val="00AE5503"/>
    <w:rsid w:val="00AE5807"/>
    <w:rsid w:val="00AE5DFE"/>
    <w:rsid w:val="00AE6953"/>
    <w:rsid w:val="00AF5ED8"/>
    <w:rsid w:val="00AF6466"/>
    <w:rsid w:val="00B056FD"/>
    <w:rsid w:val="00B108AD"/>
    <w:rsid w:val="00B11C1B"/>
    <w:rsid w:val="00B1296F"/>
    <w:rsid w:val="00B141FF"/>
    <w:rsid w:val="00B22DC7"/>
    <w:rsid w:val="00B237C4"/>
    <w:rsid w:val="00B254AE"/>
    <w:rsid w:val="00B26112"/>
    <w:rsid w:val="00B31384"/>
    <w:rsid w:val="00B313B3"/>
    <w:rsid w:val="00B3358F"/>
    <w:rsid w:val="00B350CC"/>
    <w:rsid w:val="00B35873"/>
    <w:rsid w:val="00B42AEA"/>
    <w:rsid w:val="00B5233C"/>
    <w:rsid w:val="00B54BC2"/>
    <w:rsid w:val="00B5634C"/>
    <w:rsid w:val="00B56353"/>
    <w:rsid w:val="00B618BE"/>
    <w:rsid w:val="00B65871"/>
    <w:rsid w:val="00B702EB"/>
    <w:rsid w:val="00B774E1"/>
    <w:rsid w:val="00B81A03"/>
    <w:rsid w:val="00B845B4"/>
    <w:rsid w:val="00B916CF"/>
    <w:rsid w:val="00B977E4"/>
    <w:rsid w:val="00BA4D03"/>
    <w:rsid w:val="00BB03DE"/>
    <w:rsid w:val="00BB2DFB"/>
    <w:rsid w:val="00BB3209"/>
    <w:rsid w:val="00BB5A79"/>
    <w:rsid w:val="00BB5CF4"/>
    <w:rsid w:val="00BC01CA"/>
    <w:rsid w:val="00BC3947"/>
    <w:rsid w:val="00BC59FD"/>
    <w:rsid w:val="00BC62E8"/>
    <w:rsid w:val="00BD304F"/>
    <w:rsid w:val="00BE393D"/>
    <w:rsid w:val="00BF19A4"/>
    <w:rsid w:val="00BF5200"/>
    <w:rsid w:val="00BF5263"/>
    <w:rsid w:val="00BF763F"/>
    <w:rsid w:val="00C00239"/>
    <w:rsid w:val="00C0034F"/>
    <w:rsid w:val="00C04488"/>
    <w:rsid w:val="00C11790"/>
    <w:rsid w:val="00C12307"/>
    <w:rsid w:val="00C201D2"/>
    <w:rsid w:val="00C27941"/>
    <w:rsid w:val="00C31874"/>
    <w:rsid w:val="00C427B5"/>
    <w:rsid w:val="00C45381"/>
    <w:rsid w:val="00C50595"/>
    <w:rsid w:val="00C65D10"/>
    <w:rsid w:val="00C662E0"/>
    <w:rsid w:val="00C748E6"/>
    <w:rsid w:val="00C80C17"/>
    <w:rsid w:val="00C862F4"/>
    <w:rsid w:val="00C91056"/>
    <w:rsid w:val="00C91838"/>
    <w:rsid w:val="00C93769"/>
    <w:rsid w:val="00CA4282"/>
    <w:rsid w:val="00CB408D"/>
    <w:rsid w:val="00CB550A"/>
    <w:rsid w:val="00CC3F70"/>
    <w:rsid w:val="00CC75D0"/>
    <w:rsid w:val="00CD3283"/>
    <w:rsid w:val="00CE115A"/>
    <w:rsid w:val="00CE23A0"/>
    <w:rsid w:val="00CE69A0"/>
    <w:rsid w:val="00CE6E09"/>
    <w:rsid w:val="00CF3099"/>
    <w:rsid w:val="00CF3802"/>
    <w:rsid w:val="00CF40EF"/>
    <w:rsid w:val="00D045CC"/>
    <w:rsid w:val="00D05529"/>
    <w:rsid w:val="00D06027"/>
    <w:rsid w:val="00D15FBD"/>
    <w:rsid w:val="00D17574"/>
    <w:rsid w:val="00D20C08"/>
    <w:rsid w:val="00D25FEE"/>
    <w:rsid w:val="00D26050"/>
    <w:rsid w:val="00D323CC"/>
    <w:rsid w:val="00D35976"/>
    <w:rsid w:val="00D359C7"/>
    <w:rsid w:val="00D4014A"/>
    <w:rsid w:val="00D43953"/>
    <w:rsid w:val="00D450AE"/>
    <w:rsid w:val="00D46D10"/>
    <w:rsid w:val="00D46DCB"/>
    <w:rsid w:val="00D50179"/>
    <w:rsid w:val="00D5100D"/>
    <w:rsid w:val="00D510E7"/>
    <w:rsid w:val="00D52E3E"/>
    <w:rsid w:val="00D53013"/>
    <w:rsid w:val="00D5350D"/>
    <w:rsid w:val="00D5525F"/>
    <w:rsid w:val="00D64ABB"/>
    <w:rsid w:val="00D70168"/>
    <w:rsid w:val="00D70C29"/>
    <w:rsid w:val="00D734CE"/>
    <w:rsid w:val="00D94157"/>
    <w:rsid w:val="00D955AF"/>
    <w:rsid w:val="00D95681"/>
    <w:rsid w:val="00D97397"/>
    <w:rsid w:val="00DB00FD"/>
    <w:rsid w:val="00DB3392"/>
    <w:rsid w:val="00DB5E1A"/>
    <w:rsid w:val="00DC2D03"/>
    <w:rsid w:val="00DC5047"/>
    <w:rsid w:val="00DC548B"/>
    <w:rsid w:val="00DC6AFF"/>
    <w:rsid w:val="00DD0020"/>
    <w:rsid w:val="00DD27B0"/>
    <w:rsid w:val="00DD3E8A"/>
    <w:rsid w:val="00DE7FB2"/>
    <w:rsid w:val="00DF15CD"/>
    <w:rsid w:val="00DF2566"/>
    <w:rsid w:val="00DF3A78"/>
    <w:rsid w:val="00E1379A"/>
    <w:rsid w:val="00E139EF"/>
    <w:rsid w:val="00E15048"/>
    <w:rsid w:val="00E20A0A"/>
    <w:rsid w:val="00E23629"/>
    <w:rsid w:val="00E23737"/>
    <w:rsid w:val="00E30D37"/>
    <w:rsid w:val="00E31801"/>
    <w:rsid w:val="00E32591"/>
    <w:rsid w:val="00E40501"/>
    <w:rsid w:val="00E428DF"/>
    <w:rsid w:val="00E5562C"/>
    <w:rsid w:val="00E64FA2"/>
    <w:rsid w:val="00E665FE"/>
    <w:rsid w:val="00E72FB1"/>
    <w:rsid w:val="00E73002"/>
    <w:rsid w:val="00E73CA0"/>
    <w:rsid w:val="00E743F1"/>
    <w:rsid w:val="00E748B3"/>
    <w:rsid w:val="00E75DED"/>
    <w:rsid w:val="00E80279"/>
    <w:rsid w:val="00E848B2"/>
    <w:rsid w:val="00E86143"/>
    <w:rsid w:val="00E90769"/>
    <w:rsid w:val="00E93360"/>
    <w:rsid w:val="00E94667"/>
    <w:rsid w:val="00E97CE5"/>
    <w:rsid w:val="00EA0EDF"/>
    <w:rsid w:val="00EA54CA"/>
    <w:rsid w:val="00EB24DE"/>
    <w:rsid w:val="00EB263F"/>
    <w:rsid w:val="00EB3A4B"/>
    <w:rsid w:val="00EC2EA8"/>
    <w:rsid w:val="00EC75AE"/>
    <w:rsid w:val="00ED10BB"/>
    <w:rsid w:val="00ED4499"/>
    <w:rsid w:val="00EE0273"/>
    <w:rsid w:val="00EE058A"/>
    <w:rsid w:val="00EE0922"/>
    <w:rsid w:val="00EE1011"/>
    <w:rsid w:val="00EF0285"/>
    <w:rsid w:val="00EF42A8"/>
    <w:rsid w:val="00EF52C7"/>
    <w:rsid w:val="00F01CC9"/>
    <w:rsid w:val="00F05115"/>
    <w:rsid w:val="00F12318"/>
    <w:rsid w:val="00F14253"/>
    <w:rsid w:val="00F16211"/>
    <w:rsid w:val="00F20503"/>
    <w:rsid w:val="00F21429"/>
    <w:rsid w:val="00F22F8F"/>
    <w:rsid w:val="00F232E1"/>
    <w:rsid w:val="00F23541"/>
    <w:rsid w:val="00F2632B"/>
    <w:rsid w:val="00F30BDD"/>
    <w:rsid w:val="00F31735"/>
    <w:rsid w:val="00F40EE9"/>
    <w:rsid w:val="00F447F9"/>
    <w:rsid w:val="00F46F4D"/>
    <w:rsid w:val="00F47370"/>
    <w:rsid w:val="00F504FE"/>
    <w:rsid w:val="00F521E0"/>
    <w:rsid w:val="00F52F2F"/>
    <w:rsid w:val="00F54054"/>
    <w:rsid w:val="00F55069"/>
    <w:rsid w:val="00F565CD"/>
    <w:rsid w:val="00F56CBB"/>
    <w:rsid w:val="00F57E2B"/>
    <w:rsid w:val="00F645D5"/>
    <w:rsid w:val="00F73975"/>
    <w:rsid w:val="00F7505E"/>
    <w:rsid w:val="00F76A07"/>
    <w:rsid w:val="00F81045"/>
    <w:rsid w:val="00F91278"/>
    <w:rsid w:val="00F91423"/>
    <w:rsid w:val="00F95DD0"/>
    <w:rsid w:val="00FA1895"/>
    <w:rsid w:val="00FA22D5"/>
    <w:rsid w:val="00FA2698"/>
    <w:rsid w:val="00FB13DC"/>
    <w:rsid w:val="00FB387E"/>
    <w:rsid w:val="00FB7778"/>
    <w:rsid w:val="00FC0986"/>
    <w:rsid w:val="00FC1383"/>
    <w:rsid w:val="00FC40CA"/>
    <w:rsid w:val="00FD0195"/>
    <w:rsid w:val="00FD3C8E"/>
    <w:rsid w:val="00FF12DC"/>
    <w:rsid w:val="00FF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EB672C-77C1-44B5-B726-3569ACC93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6A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76AB7"/>
    <w:pPr>
      <w:keepNext/>
      <w:jc w:val="center"/>
      <w:outlineLvl w:val="0"/>
    </w:pPr>
    <w:rPr>
      <w:rFonts w:eastAsia="Arial Unicode MS"/>
      <w:b/>
      <w:sz w:val="20"/>
      <w:szCs w:val="20"/>
    </w:rPr>
  </w:style>
  <w:style w:type="paragraph" w:styleId="Nagwek2">
    <w:name w:val="heading 2"/>
    <w:basedOn w:val="Normalny"/>
    <w:next w:val="Normalny"/>
    <w:qFormat/>
    <w:rsid w:val="00176AB7"/>
    <w:pPr>
      <w:keepNext/>
      <w:ind w:firstLine="426"/>
      <w:outlineLvl w:val="1"/>
    </w:pPr>
    <w:rPr>
      <w:rFonts w:eastAsia="Arial Unicode MS"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76AB7"/>
    <w:pPr>
      <w:ind w:firstLine="426"/>
    </w:pPr>
    <w:rPr>
      <w:sz w:val="20"/>
      <w:szCs w:val="20"/>
    </w:rPr>
  </w:style>
  <w:style w:type="paragraph" w:styleId="Tekstpodstawowy2">
    <w:name w:val="Body Text 2"/>
    <w:basedOn w:val="Normalny"/>
    <w:rsid w:val="00176AB7"/>
    <w:pPr>
      <w:widowControl w:val="0"/>
      <w:tabs>
        <w:tab w:val="left" w:pos="231"/>
      </w:tabs>
      <w:autoSpaceDE w:val="0"/>
      <w:autoSpaceDN w:val="0"/>
      <w:adjustRightInd w:val="0"/>
      <w:spacing w:before="107"/>
      <w:jc w:val="both"/>
    </w:pPr>
    <w:rPr>
      <w:color w:val="000000"/>
      <w:szCs w:val="18"/>
    </w:rPr>
  </w:style>
  <w:style w:type="paragraph" w:styleId="Tekstpodstawowy">
    <w:name w:val="Body Text"/>
    <w:basedOn w:val="Normalny"/>
    <w:link w:val="TekstpodstawowyZnak"/>
    <w:rsid w:val="00B916CF"/>
    <w:pPr>
      <w:spacing w:after="120"/>
    </w:pPr>
  </w:style>
  <w:style w:type="paragraph" w:styleId="Stopka">
    <w:name w:val="footer"/>
    <w:basedOn w:val="Normalny"/>
    <w:rsid w:val="009A79C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79C6"/>
  </w:style>
  <w:style w:type="paragraph" w:styleId="Zwykytekst">
    <w:name w:val="Plain Text"/>
    <w:basedOn w:val="Normalny"/>
    <w:rsid w:val="0010495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napToGrid w:val="0"/>
      <w:sz w:val="20"/>
      <w:szCs w:val="20"/>
      <w:lang w:val="en-GB"/>
    </w:rPr>
  </w:style>
  <w:style w:type="character" w:customStyle="1" w:styleId="akapitdomyslny">
    <w:name w:val="akapitdomyslny"/>
    <w:basedOn w:val="Domylnaczcionkaakapitu"/>
    <w:rsid w:val="00186A1A"/>
  </w:style>
  <w:style w:type="paragraph" w:styleId="Tekstdymka">
    <w:name w:val="Balloon Text"/>
    <w:basedOn w:val="Normalny"/>
    <w:link w:val="TekstdymkaZnak"/>
    <w:rsid w:val="002622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22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C0034F"/>
    <w:pPr>
      <w:ind w:left="720"/>
      <w:contextualSpacing/>
    </w:pPr>
  </w:style>
  <w:style w:type="paragraph" w:styleId="Nagwek">
    <w:name w:val="header"/>
    <w:basedOn w:val="Normalny"/>
    <w:link w:val="NagwekZnak"/>
    <w:rsid w:val="00496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BA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97762"/>
  </w:style>
  <w:style w:type="character" w:customStyle="1" w:styleId="TekstpodstawowyZnak">
    <w:name w:val="Tekst podstawowy Znak"/>
    <w:basedOn w:val="Domylnaczcionkaakapitu"/>
    <w:link w:val="Tekstpodstawowy"/>
    <w:rsid w:val="00C201D2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E31B6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4E31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89B7D-0045-4E01-BB46-DAB4E2DC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2202</Words>
  <Characters>13959</Characters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2016-09-14T07:58:00Z</cp:lastPrinted>
  <dcterms:created xsi:type="dcterms:W3CDTF">2016-12-23T09:37:00Z</dcterms:created>
  <dcterms:modified xsi:type="dcterms:W3CDTF">2016-12-23T11:05:00Z</dcterms:modified>
</cp:coreProperties>
</file>